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topLinePunct w:val="0"/>
        <w:autoSpaceDE/>
        <w:autoSpaceDN/>
        <w:bidi w:val="0"/>
        <w:adjustRightInd/>
        <w:snapToGrid/>
        <w:spacing w:after="0" w:line="579" w:lineRule="exact"/>
        <w:ind w:firstLine="0" w:firstLineChars="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color w:val="000000"/>
          <w:sz w:val="32"/>
          <w:szCs w:val="32"/>
          <w:highlight w:val="none"/>
          <w:lang w:eastAsia="zh-CN"/>
        </w:rPr>
        <w:t>附件</w:t>
      </w:r>
      <w:r>
        <w:rPr>
          <w:rFonts w:hint="eastAsia" w:ascii="仿宋_GB2312" w:hAnsi="仿宋_GB2312" w:eastAsia="仿宋_GB2312" w:cs="仿宋_GB2312"/>
          <w:b/>
          <w:bCs/>
          <w:color w:val="000000"/>
          <w:sz w:val="32"/>
          <w:szCs w:val="32"/>
          <w:highlight w:val="none"/>
          <w:lang w:val="en-US" w:eastAsia="zh-CN"/>
        </w:rPr>
        <w:t>1</w:t>
      </w:r>
    </w:p>
    <w:p>
      <w:pPr>
        <w:keepNext w:val="0"/>
        <w:keepLines w:val="0"/>
        <w:pageBreakBefore w:val="0"/>
        <w:kinsoku/>
        <w:wordWrap/>
        <w:topLinePunct w:val="0"/>
        <w:autoSpaceDE/>
        <w:autoSpaceDN/>
        <w:bidi w:val="0"/>
        <w:adjustRightInd/>
        <w:snapToGrid/>
        <w:spacing w:after="0" w:line="579" w:lineRule="exact"/>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topLinePunct w:val="0"/>
        <w:autoSpaceDE/>
        <w:autoSpaceDN/>
        <w:bidi w:val="0"/>
        <w:adjustRightInd/>
        <w:snapToGrid/>
        <w:spacing w:after="0" w:line="579"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深圳经济特区预付式经营管理若干规定</w:t>
      </w:r>
    </w:p>
    <w:p>
      <w:pPr>
        <w:keepNext w:val="0"/>
        <w:keepLines w:val="0"/>
        <w:pageBreakBefore w:val="0"/>
        <w:numPr>
          <w:ilvl w:val="0"/>
          <w:numId w:val="0"/>
        </w:numPr>
        <w:kinsoku/>
        <w:wordWrap/>
        <w:topLinePunct w:val="0"/>
        <w:autoSpaceDE/>
        <w:autoSpaceDN/>
        <w:bidi w:val="0"/>
        <w:adjustRightInd/>
        <w:snapToGrid/>
        <w:spacing w:after="0" w:line="579"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征求意见稿</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topLinePunct w:val="0"/>
        <w:autoSpaceDE/>
        <w:autoSpaceDN/>
        <w:bidi w:val="0"/>
        <w:adjustRightInd/>
        <w:snapToGrid/>
        <w:spacing w:after="0" w:line="579" w:lineRule="exact"/>
        <w:ind w:firstLine="562" w:firstLineChars="200"/>
        <w:rPr>
          <w:rFonts w:hint="eastAsia" w:ascii="仿宋_GB2312" w:hAnsi="仿宋_GB2312" w:eastAsia="仿宋_GB2312" w:cs="仿宋_GB2312"/>
          <w:b/>
          <w:bCs/>
          <w:sz w:val="28"/>
          <w:szCs w:val="28"/>
          <w:highlight w:val="none"/>
        </w:rPr>
      </w:pPr>
    </w:p>
    <w:p>
      <w:pPr>
        <w:keepNext w:val="0"/>
        <w:keepLines w:val="0"/>
        <w:pageBreakBefore w:val="0"/>
        <w:numPr>
          <w:ilvl w:val="0"/>
          <w:numId w:val="0"/>
        </w:numPr>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bCs/>
          <w:sz w:val="32"/>
          <w:szCs w:val="32"/>
          <w:highlight w:val="none"/>
        </w:rPr>
        <w:t>第一条</w:t>
      </w:r>
      <w:r>
        <w:rPr>
          <w:rFonts w:hint="eastAsia" w:ascii="楷体_GB2312" w:hAnsi="楷体_GB2312" w:eastAsia="楷体_GB2312" w:cs="楷体_GB2312"/>
          <w:b/>
          <w:bCs/>
          <w:sz w:val="32"/>
          <w:szCs w:val="32"/>
          <w:highlight w:val="none"/>
          <w:lang w:eastAsia="zh-CN"/>
        </w:rPr>
        <w:t>（目的和依据）</w:t>
      </w:r>
      <w:r>
        <w:rPr>
          <w:rFonts w:ascii="楷体_GB2312" w:hAnsi="楷体_GB2312" w:eastAsia="楷体_GB2312" w:cs="楷体_GB2312"/>
          <w:b/>
          <w:bCs/>
          <w:sz w:val="32"/>
          <w:szCs w:val="32"/>
          <w:highlight w:val="none"/>
        </w:rPr>
        <w:t xml:space="preserve"> </w:t>
      </w:r>
      <w:r>
        <w:rPr>
          <w:rFonts w:hint="eastAsia" w:ascii="仿宋_GB2312" w:hAnsi="仿宋_GB2312" w:eastAsia="仿宋_GB2312" w:cs="仿宋_GB2312"/>
          <w:color w:val="000000"/>
          <w:sz w:val="32"/>
          <w:szCs w:val="32"/>
          <w:highlight w:val="none"/>
        </w:rPr>
        <w:t>为了加强预付式经营管理，保护消费者合法权益，规范市场秩序，根据《中华人民共和国消费者权益保护法》《中华人民共和国消费者权益保护法实施条例》</w:t>
      </w:r>
      <w:r>
        <w:rPr>
          <w:rFonts w:hint="eastAsia" w:ascii="仿宋_GB2312" w:hAnsi="仿宋_GB2312" w:eastAsia="仿宋_GB2312" w:cs="仿宋_GB2312"/>
          <w:color w:val="000000"/>
          <w:sz w:val="32"/>
          <w:szCs w:val="32"/>
          <w:highlight w:val="none"/>
          <w:lang w:eastAsia="zh-CN"/>
        </w:rPr>
        <w:t>《深圳经济特区消费者权益保护条例》</w:t>
      </w:r>
      <w:r>
        <w:rPr>
          <w:rFonts w:hint="eastAsia" w:ascii="仿宋_GB2312" w:hAnsi="仿宋_GB2312" w:eastAsia="仿宋_GB2312" w:cs="仿宋_GB2312"/>
          <w:color w:val="000000"/>
          <w:sz w:val="32"/>
          <w:szCs w:val="32"/>
          <w:highlight w:val="none"/>
        </w:rPr>
        <w:t>等法律</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法规，结合</w:t>
      </w:r>
      <w:r>
        <w:rPr>
          <w:rFonts w:hint="eastAsia" w:ascii="仿宋_GB2312" w:hAnsi="仿宋_GB2312" w:eastAsia="仿宋_GB2312" w:cs="仿宋_GB2312"/>
          <w:color w:val="000000"/>
          <w:sz w:val="32"/>
          <w:szCs w:val="32"/>
          <w:highlight w:val="none"/>
          <w:lang w:eastAsia="zh-CN"/>
        </w:rPr>
        <w:t>深圳经济特区</w:t>
      </w:r>
      <w:r>
        <w:rPr>
          <w:rFonts w:hint="eastAsia" w:ascii="仿宋_GB2312" w:hAnsi="仿宋_GB2312" w:eastAsia="仿宋_GB2312" w:cs="仿宋_GB2312"/>
          <w:color w:val="000000"/>
          <w:sz w:val="32"/>
          <w:szCs w:val="32"/>
          <w:highlight w:val="none"/>
        </w:rPr>
        <w:t>实际，制定本规定。</w:t>
      </w:r>
    </w:p>
    <w:p>
      <w:pPr>
        <w:keepNext w:val="0"/>
        <w:keepLines w:val="0"/>
        <w:pageBreakBefore w:val="0"/>
        <w:numPr>
          <w:ilvl w:val="0"/>
          <w:numId w:val="0"/>
        </w:numPr>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bCs/>
          <w:sz w:val="32"/>
          <w:szCs w:val="32"/>
          <w:highlight w:val="none"/>
        </w:rPr>
        <w:t>第二条</w:t>
      </w:r>
      <w:r>
        <w:rPr>
          <w:rFonts w:hint="eastAsia" w:ascii="楷体_GB2312" w:hAnsi="楷体_GB2312" w:eastAsia="楷体_GB2312" w:cs="楷体_GB2312"/>
          <w:b/>
          <w:bCs/>
          <w:sz w:val="32"/>
          <w:szCs w:val="32"/>
          <w:highlight w:val="none"/>
          <w:lang w:eastAsia="zh-CN"/>
        </w:rPr>
        <w:t>（适用范围）</w:t>
      </w:r>
      <w:r>
        <w:rPr>
          <w:rFonts w:hint="eastAsia" w:ascii="楷体_GB2312" w:hAnsi="楷体_GB2312" w:eastAsia="楷体_GB2312" w:cs="楷体_GB2312"/>
          <w:b/>
          <w:bCs/>
          <w:sz w:val="32"/>
          <w:szCs w:val="32"/>
          <w:highlight w:val="none"/>
        </w:rPr>
        <w:t xml:space="preserve"> </w:t>
      </w:r>
      <w:r>
        <w:rPr>
          <w:rFonts w:hint="eastAsia" w:ascii="仿宋_GB2312" w:hAnsi="仿宋_GB2312" w:eastAsia="仿宋_GB2312" w:cs="仿宋_GB2312"/>
          <w:b w:val="0"/>
          <w:bCs w:val="0"/>
          <w:color w:val="000000"/>
          <w:sz w:val="32"/>
          <w:szCs w:val="32"/>
          <w:highlight w:val="none"/>
          <w:lang w:val="en-US" w:eastAsia="zh-CN"/>
        </w:rPr>
        <w:t>深圳经济特区内预付式经营及其监督管理等活动适用本规定。</w:t>
      </w:r>
    </w:p>
    <w:p>
      <w:pPr>
        <w:keepNext w:val="0"/>
        <w:keepLines w:val="0"/>
        <w:pageBreakBefore w:val="0"/>
        <w:numPr>
          <w:ilvl w:val="0"/>
          <w:numId w:val="0"/>
        </w:numPr>
        <w:kinsoku/>
        <w:wordWrap/>
        <w:topLinePunct w:val="0"/>
        <w:autoSpaceDE/>
        <w:autoSpaceDN/>
        <w:bidi w:val="0"/>
        <w:adjustRightInd/>
        <w:snapToGrid/>
        <w:spacing w:after="0" w:line="579"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本规定所称预付式经营活动，是指</w:t>
      </w:r>
      <w:r>
        <w:rPr>
          <w:rFonts w:hint="eastAsia" w:ascii="仿宋_GB2312" w:hAnsi="仿宋_GB2312" w:eastAsia="仿宋_GB2312" w:cs="仿宋_GB2312"/>
          <w:color w:val="000000"/>
          <w:sz w:val="32"/>
          <w:szCs w:val="32"/>
          <w:highlight w:val="none"/>
          <w:lang w:eastAsia="zh-CN"/>
        </w:rPr>
        <w:t>在</w:t>
      </w:r>
      <w:r>
        <w:rPr>
          <w:rFonts w:hint="eastAsia" w:ascii="仿宋_GB2312" w:hAnsi="仿宋_GB2312" w:eastAsia="仿宋_GB2312" w:cs="仿宋_GB2312"/>
          <w:color w:val="000000"/>
          <w:sz w:val="32"/>
          <w:szCs w:val="32"/>
          <w:highlight w:val="none"/>
          <w:lang w:val="en-US" w:eastAsia="zh-CN"/>
        </w:rPr>
        <w:t>生活消费领域，</w:t>
      </w:r>
      <w:r>
        <w:rPr>
          <w:rFonts w:hint="eastAsia" w:ascii="仿宋_GB2312" w:hAnsi="仿宋_GB2312" w:eastAsia="仿宋_GB2312" w:cs="仿宋_GB2312"/>
          <w:color w:val="000000"/>
          <w:sz w:val="32"/>
          <w:szCs w:val="32"/>
          <w:highlight w:val="none"/>
        </w:rPr>
        <w:t>经营者</w:t>
      </w:r>
      <w:r>
        <w:rPr>
          <w:rFonts w:hint="eastAsia" w:ascii="仿宋_GB2312" w:hAnsi="仿宋_GB2312" w:eastAsia="仿宋_GB2312" w:cs="仿宋_GB2312"/>
          <w:color w:val="000000"/>
          <w:sz w:val="32"/>
          <w:szCs w:val="32"/>
          <w:highlight w:val="none"/>
          <w:lang w:eastAsia="zh-CN"/>
        </w:rPr>
        <w:t>向消费者收取预付款</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按照</w:t>
      </w:r>
      <w:r>
        <w:rPr>
          <w:rFonts w:hint="eastAsia" w:ascii="仿宋_GB2312" w:hAnsi="仿宋_GB2312" w:eastAsia="仿宋_GB2312" w:cs="仿宋_GB2312"/>
          <w:color w:val="000000"/>
          <w:sz w:val="32"/>
          <w:szCs w:val="32"/>
          <w:highlight w:val="none"/>
          <w:lang w:val="en-US" w:eastAsia="zh-CN"/>
        </w:rPr>
        <w:t>多</w:t>
      </w:r>
      <w:r>
        <w:rPr>
          <w:rFonts w:hint="eastAsia" w:ascii="仿宋_GB2312" w:hAnsi="仿宋_GB2312" w:eastAsia="仿宋_GB2312" w:cs="仿宋_GB2312"/>
          <w:color w:val="000000"/>
          <w:sz w:val="32"/>
          <w:szCs w:val="32"/>
          <w:highlight w:val="none"/>
        </w:rPr>
        <w:t>次、</w:t>
      </w:r>
      <w:r>
        <w:rPr>
          <w:rFonts w:hint="eastAsia" w:ascii="仿宋_GB2312" w:hAnsi="仿宋_GB2312" w:eastAsia="仿宋_GB2312" w:cs="仿宋_GB2312"/>
          <w:color w:val="000000"/>
          <w:sz w:val="32"/>
          <w:szCs w:val="32"/>
          <w:highlight w:val="none"/>
          <w:lang w:eastAsia="zh-CN"/>
        </w:rPr>
        <w:t>持续</w:t>
      </w:r>
      <w:r>
        <w:rPr>
          <w:rFonts w:hint="eastAsia" w:ascii="仿宋_GB2312" w:hAnsi="仿宋_GB2312" w:eastAsia="仿宋_GB2312" w:cs="仿宋_GB2312"/>
          <w:color w:val="000000"/>
          <w:sz w:val="32"/>
          <w:szCs w:val="32"/>
          <w:highlight w:val="none"/>
        </w:rPr>
        <w:t>等非一次性方式兑付商品或者提供服务的</w:t>
      </w:r>
      <w:r>
        <w:rPr>
          <w:rFonts w:hint="eastAsia" w:ascii="仿宋_GB2312" w:hAnsi="仿宋_GB2312" w:eastAsia="仿宋_GB2312" w:cs="仿宋_GB2312"/>
          <w:color w:val="000000"/>
          <w:sz w:val="32"/>
          <w:szCs w:val="32"/>
          <w:highlight w:val="none"/>
          <w:lang w:eastAsia="zh-CN"/>
        </w:rPr>
        <w:t>交易活动</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前款规定的预付式经营活动，不包括下列情形：</w:t>
      </w:r>
    </w:p>
    <w:p>
      <w:pPr>
        <w:keepNext w:val="0"/>
        <w:keepLines w:val="0"/>
        <w:pageBreakBefore w:val="0"/>
        <w:numPr>
          <w:ilvl w:val="0"/>
          <w:numId w:val="0"/>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（一）依法取得《支付业务许可证》的支付机构开展的预付卡发行与受理</w:t>
      </w:r>
      <w:r>
        <w:rPr>
          <w:rFonts w:hint="eastAsia" w:ascii="仿宋_GB2312" w:hAnsi="仿宋_GB2312" w:eastAsia="仿宋_GB2312" w:cs="仿宋_GB2312"/>
          <w:color w:val="000000"/>
          <w:sz w:val="32"/>
          <w:szCs w:val="32"/>
          <w:highlight w:val="none"/>
          <w:lang w:eastAsia="zh-CN"/>
        </w:rPr>
        <w:t>活动</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（二）依照《单用途商业预付卡管理办法（试行）》</w:t>
      </w:r>
      <w:r>
        <w:rPr>
          <w:rFonts w:hint="eastAsia" w:ascii="仿宋_GB2312" w:hAnsi="仿宋_GB2312" w:eastAsia="仿宋_GB2312" w:cs="仿宋_GB2312"/>
          <w:color w:val="000000"/>
          <w:sz w:val="32"/>
          <w:szCs w:val="32"/>
          <w:highlight w:val="none"/>
          <w:lang w:eastAsia="zh-CN"/>
        </w:rPr>
        <w:t>备案</w:t>
      </w:r>
      <w:r>
        <w:rPr>
          <w:rFonts w:hint="eastAsia" w:ascii="仿宋_GB2312" w:hAnsi="仿宋_GB2312" w:eastAsia="仿宋_GB2312" w:cs="仿宋_GB2312"/>
          <w:color w:val="000000"/>
          <w:sz w:val="32"/>
          <w:szCs w:val="32"/>
          <w:highlight w:val="none"/>
        </w:rPr>
        <w:t>的规模发</w:t>
      </w:r>
      <w:r>
        <w:rPr>
          <w:rFonts w:hint="eastAsia" w:ascii="仿宋_GB2312" w:hAnsi="仿宋_GB2312" w:eastAsia="仿宋_GB2312" w:cs="仿宋_GB2312"/>
          <w:color w:val="000000"/>
          <w:sz w:val="32"/>
          <w:szCs w:val="32"/>
          <w:highlight w:val="none"/>
          <w:lang w:eastAsia="zh-CN"/>
        </w:rPr>
        <w:t>卡</w:t>
      </w:r>
      <w:r>
        <w:rPr>
          <w:rFonts w:hint="eastAsia" w:ascii="仿宋_GB2312" w:hAnsi="仿宋_GB2312" w:eastAsia="仿宋_GB2312" w:cs="仿宋_GB2312"/>
          <w:color w:val="000000"/>
          <w:sz w:val="32"/>
          <w:szCs w:val="32"/>
          <w:highlight w:val="none"/>
        </w:rPr>
        <w:t>、集团发卡及品牌发卡</w:t>
      </w:r>
      <w:r>
        <w:rPr>
          <w:rFonts w:hint="eastAsia" w:ascii="仿宋_GB2312" w:hAnsi="仿宋_GB2312" w:eastAsia="仿宋_GB2312" w:cs="仿宋_GB2312"/>
          <w:color w:val="000000"/>
          <w:sz w:val="32"/>
          <w:szCs w:val="32"/>
          <w:highlight w:val="none"/>
          <w:lang w:val="en-US" w:eastAsia="zh-CN"/>
        </w:rPr>
        <w:t>企业发行</w:t>
      </w:r>
      <w:r>
        <w:rPr>
          <w:rFonts w:hint="default" w:ascii="仿宋_GB2312" w:hAnsi="仿宋_GB2312" w:eastAsia="仿宋_GB2312" w:cs="仿宋_GB2312"/>
          <w:color w:val="000000"/>
          <w:sz w:val="32"/>
          <w:szCs w:val="32"/>
          <w:highlight w:val="none"/>
          <w:lang w:val="en-US"/>
        </w:rPr>
        <w:t>单用途商业预付卡</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经营活动；</w:t>
      </w:r>
    </w:p>
    <w:p>
      <w:pPr>
        <w:keepNext w:val="0"/>
        <w:keepLines w:val="0"/>
        <w:pageBreakBefore w:val="0"/>
        <w:numPr>
          <w:ilvl w:val="0"/>
          <w:numId w:val="0"/>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（三）供电、供水、供气、通信、广播电视、公共交通等公用事业领域经营者，依据国家有关规定收取预存费用并提供持续性普遍服务的行为；</w:t>
      </w:r>
    </w:p>
    <w:p>
      <w:pPr>
        <w:pStyle w:val="2"/>
        <w:keepNext w:val="0"/>
        <w:keepLines w:val="0"/>
        <w:pageBreakBefore w:val="0"/>
        <w:kinsoku/>
        <w:wordWrap/>
        <w:topLinePunct w:val="0"/>
        <w:autoSpaceDE/>
        <w:autoSpaceDN/>
        <w:bidi w:val="0"/>
        <w:adjustRightInd/>
        <w:snapToGrid/>
        <w:spacing w:after="0" w:line="579" w:lineRule="exact"/>
        <w:ind w:firstLine="640" w:firstLineChars="200"/>
        <w:rPr>
          <w:rFonts w:hint="eastAsia" w:ascii="楷体_GB2312" w:hAnsi="楷体_GB2312" w:eastAsia="楷体_GB2312" w:cs="楷体_GB2312"/>
          <w:b/>
          <w:bCs/>
          <w:sz w:val="32"/>
          <w:szCs w:val="32"/>
          <w:highlight w:val="none"/>
        </w:rPr>
      </w:pPr>
      <w:r>
        <w:rPr>
          <w:rFonts w:hint="eastAsia" w:ascii="仿宋_GB2312" w:hAnsi="仿宋_GB2312" w:eastAsia="仿宋_GB2312" w:cs="仿宋_GB2312"/>
          <w:color w:val="000000"/>
          <w:sz w:val="32"/>
          <w:szCs w:val="32"/>
          <w:highlight w:val="none"/>
        </w:rPr>
        <w:t>（四）法律</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法规</w:t>
      </w:r>
      <w:r>
        <w:rPr>
          <w:rFonts w:hint="eastAsia" w:ascii="仿宋_GB2312" w:hAnsi="仿宋_GB2312" w:eastAsia="仿宋_GB2312" w:cs="仿宋_GB2312"/>
          <w:color w:val="000000"/>
          <w:sz w:val="32"/>
          <w:szCs w:val="32"/>
          <w:highlight w:val="none"/>
          <w:lang w:eastAsia="zh-CN"/>
        </w:rPr>
        <w:t>、规章及其他文件</w:t>
      </w:r>
      <w:r>
        <w:rPr>
          <w:rFonts w:hint="eastAsia" w:ascii="仿宋_GB2312" w:hAnsi="仿宋_GB2312" w:eastAsia="仿宋_GB2312" w:cs="仿宋_GB2312"/>
          <w:color w:val="000000"/>
          <w:sz w:val="32"/>
          <w:szCs w:val="32"/>
          <w:highlight w:val="none"/>
        </w:rPr>
        <w:t>规定</w:t>
      </w:r>
      <w:r>
        <w:rPr>
          <w:rFonts w:hint="eastAsia" w:ascii="仿宋_GB2312" w:hAnsi="仿宋_GB2312" w:eastAsia="仿宋_GB2312" w:cs="仿宋_GB2312"/>
          <w:color w:val="000000"/>
          <w:sz w:val="32"/>
          <w:szCs w:val="32"/>
          <w:highlight w:val="none"/>
          <w:lang w:eastAsia="zh-CN"/>
        </w:rPr>
        <w:t>的行业主管部门负责的预付式经营活动。</w:t>
      </w:r>
    </w:p>
    <w:p>
      <w:pPr>
        <w:pStyle w:val="2"/>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color w:val="000000"/>
          <w:sz w:val="32"/>
          <w:szCs w:val="32"/>
          <w:highlight w:val="none"/>
          <w:lang w:val="zh-CN"/>
        </w:rPr>
      </w:pPr>
      <w:r>
        <w:rPr>
          <w:rFonts w:hint="eastAsia" w:ascii="楷体_GB2312" w:hAnsi="楷体_GB2312" w:eastAsia="楷体_GB2312" w:cs="楷体_GB2312"/>
          <w:b/>
          <w:bCs/>
          <w:sz w:val="32"/>
          <w:szCs w:val="32"/>
          <w:highlight w:val="none"/>
        </w:rPr>
        <w:t>第三条</w:t>
      </w:r>
      <w:r>
        <w:rPr>
          <w:rFonts w:hint="eastAsia" w:ascii="楷体_GB2312" w:hAnsi="楷体_GB2312" w:eastAsia="楷体_GB2312" w:cs="楷体_GB2312"/>
          <w:b/>
          <w:bCs/>
          <w:sz w:val="32"/>
          <w:szCs w:val="32"/>
          <w:highlight w:val="none"/>
          <w:lang w:eastAsia="zh-CN"/>
        </w:rPr>
        <w:t>（基本原则）</w:t>
      </w:r>
      <w:r>
        <w:rPr>
          <w:rFonts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rPr>
        <w:t>预付式经营管理坚持规范发展、风险防范、行业监管、部门协同、社会共治的原则。</w:t>
      </w:r>
    </w:p>
    <w:p>
      <w:pPr>
        <w:keepNext w:val="0"/>
        <w:keepLines w:val="0"/>
        <w:pageBreakBefore w:val="0"/>
        <w:numPr>
          <w:ilvl w:val="0"/>
          <w:numId w:val="0"/>
        </w:numPr>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（政府职责）</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zh-CN" w:eastAsia="zh-CN"/>
        </w:rPr>
        <w:t>市、区人民政府应当加强对预付式经营活动监督管理工作的领导，组织、协调、督促各有关单位做好预付式经营活动监督管理和服务工作，履行保护消费者合法权益的</w:t>
      </w:r>
      <w:r>
        <w:rPr>
          <w:rFonts w:hint="eastAsia" w:ascii="仿宋_GB2312" w:hAnsi="仿宋_GB2312" w:eastAsia="仿宋_GB2312" w:cs="仿宋_GB2312"/>
          <w:b w:val="0"/>
          <w:bCs w:val="0"/>
          <w:color w:val="000000"/>
          <w:sz w:val="32"/>
          <w:szCs w:val="32"/>
          <w:highlight w:val="none"/>
          <w:lang w:val="en-US" w:eastAsia="zh-CN"/>
        </w:rPr>
        <w:t>职责，并</w:t>
      </w:r>
      <w:r>
        <w:rPr>
          <w:rFonts w:hint="eastAsia" w:ascii="仿宋_GB2312" w:hAnsi="仿宋_GB2312" w:eastAsia="仿宋_GB2312" w:cs="仿宋_GB2312"/>
          <w:b w:val="0"/>
          <w:bCs w:val="0"/>
          <w:color w:val="000000"/>
          <w:sz w:val="32"/>
          <w:szCs w:val="32"/>
          <w:highlight w:val="none"/>
          <w:lang w:val="zh-CN" w:eastAsia="zh-CN"/>
        </w:rPr>
        <w:t>组织成立预付式经营监管议事协调机构，在同级党委领导下，组织开展预付式经营监管工作。</w:t>
      </w:r>
    </w:p>
    <w:p>
      <w:pPr>
        <w:numPr>
          <w:ilvl w:val="0"/>
          <w:numId w:val="0"/>
        </w:numPr>
        <w:spacing w:after="0" w:line="579"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街道办事处协助有关单位做好辖区内</w:t>
      </w:r>
      <w:r>
        <w:rPr>
          <w:rFonts w:hint="eastAsia" w:ascii="仿宋_GB2312" w:hAnsi="仿宋_GB2312" w:eastAsia="仿宋_GB2312" w:cs="仿宋_GB2312"/>
          <w:b w:val="0"/>
          <w:bCs w:val="0"/>
          <w:color w:val="000000"/>
          <w:sz w:val="32"/>
          <w:szCs w:val="32"/>
          <w:highlight w:val="none"/>
          <w:lang w:val="zh-CN" w:eastAsia="zh-CN"/>
        </w:rPr>
        <w:t>预付式经营活动监督管理</w:t>
      </w:r>
      <w:r>
        <w:rPr>
          <w:rFonts w:hint="eastAsia" w:ascii="仿宋_GB2312" w:hAnsi="仿宋_GB2312" w:eastAsia="仿宋_GB2312" w:cs="仿宋_GB2312"/>
          <w:color w:val="000000"/>
          <w:sz w:val="32"/>
          <w:szCs w:val="32"/>
          <w:highlight w:val="none"/>
          <w:lang w:val="en-US" w:eastAsia="zh-CN"/>
        </w:rPr>
        <w:t>相关工作。</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3"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五</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（部门职责）</w:t>
      </w:r>
      <w:r>
        <w:rPr>
          <w:rFonts w:hint="eastAsia" w:ascii="楷体_GB2312" w:hAnsi="楷体_GB2312" w:eastAsia="楷体_GB2312" w:cs="楷体_GB2312"/>
          <w:b/>
          <w:bCs/>
          <w:sz w:val="32"/>
          <w:szCs w:val="32"/>
          <w:highlight w:val="none"/>
        </w:rPr>
        <w:t xml:space="preserve"> </w:t>
      </w:r>
      <w:r>
        <w:rPr>
          <w:rFonts w:hint="default" w:ascii="仿宋_GB2312" w:hAnsi="仿宋_GB2312" w:eastAsia="仿宋_GB2312" w:cs="仿宋_GB2312"/>
          <w:b w:val="0"/>
          <w:bCs w:val="0"/>
          <w:color w:val="000000"/>
          <w:sz w:val="32"/>
          <w:szCs w:val="32"/>
          <w:highlight w:val="none"/>
          <w:lang w:val="en" w:eastAsia="zh-CN"/>
        </w:rPr>
        <w:t>预付式经营</w:t>
      </w:r>
      <w:r>
        <w:rPr>
          <w:rFonts w:hint="eastAsia" w:ascii="仿宋_GB2312" w:hAnsi="仿宋_GB2312" w:eastAsia="仿宋_GB2312" w:cs="仿宋_GB2312"/>
          <w:b w:val="0"/>
          <w:bCs w:val="0"/>
          <w:color w:val="000000"/>
          <w:sz w:val="32"/>
          <w:szCs w:val="32"/>
          <w:highlight w:val="none"/>
          <w:lang w:val="en" w:eastAsia="zh-CN"/>
        </w:rPr>
        <w:t>监管议事协调机构</w:t>
      </w:r>
      <w:r>
        <w:rPr>
          <w:rFonts w:hint="eastAsia" w:ascii="仿宋_GB2312" w:hAnsi="仿宋_GB2312" w:eastAsia="仿宋_GB2312" w:cs="仿宋_GB2312"/>
          <w:color w:val="000000"/>
          <w:sz w:val="32"/>
          <w:szCs w:val="32"/>
          <w:highlight w:val="none"/>
        </w:rPr>
        <w:t>依照本规定承担预付式经营活动相关工作的统筹协调职责</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市、区</w:t>
      </w:r>
      <w:r>
        <w:rPr>
          <w:rFonts w:hint="eastAsia" w:ascii="仿宋_GB2312" w:hAnsi="仿宋_GB2312" w:eastAsia="仿宋_GB2312" w:cs="仿宋_GB2312"/>
          <w:b w:val="0"/>
          <w:bCs w:val="0"/>
          <w:sz w:val="32"/>
          <w:szCs w:val="32"/>
          <w:highlight w:val="none"/>
          <w:lang w:val="en-US" w:eastAsia="zh-CN"/>
        </w:rPr>
        <w:t>平安建设组织协调机构</w:t>
      </w:r>
      <w:r>
        <w:rPr>
          <w:rFonts w:hint="eastAsia" w:ascii="仿宋_GB2312" w:hAnsi="仿宋_GB2312" w:eastAsia="仿宋_GB2312" w:cs="仿宋_GB2312"/>
          <w:color w:val="000000"/>
          <w:kern w:val="2"/>
          <w:sz w:val="32"/>
          <w:szCs w:val="32"/>
          <w:highlight w:val="none"/>
          <w:lang w:val="en-US" w:eastAsia="zh-CN" w:bidi="ar-SA"/>
        </w:rPr>
        <w:t>在同级党委领导下，配合开展预付式经营领域矛盾纠纷源头治理工作。</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发展改革、教育、科技、民政、人力资源保障、交通运输、商务、文化广电旅游体育、卫生健康、市场监管等部门（以下统称行业主管部门）按照市人民政府确定的职责分工，负责本行业、本领域预付式经营活动的监督管理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发展改革部门负责新能源汽车充电服务等领域；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textAlignment w:val="auto"/>
        <w:rPr>
          <w:rFonts w:hint="default"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kern w:val="2"/>
          <w:sz w:val="32"/>
          <w:szCs w:val="32"/>
          <w:highlight w:val="none"/>
          <w:lang w:val="en-US" w:eastAsia="zh-CN" w:bidi="ar-SA"/>
        </w:rPr>
        <w:t>（二）</w:t>
      </w:r>
      <w:r>
        <w:rPr>
          <w:rFonts w:hint="default" w:ascii="仿宋_GB2312" w:hAnsi="仿宋_GB2312" w:eastAsia="仿宋_GB2312" w:cs="仿宋_GB2312"/>
          <w:color w:val="000000"/>
          <w:sz w:val="32"/>
          <w:szCs w:val="32"/>
          <w:highlight w:val="none"/>
          <w:lang w:val="en-US" w:eastAsia="zh-CN"/>
        </w:rPr>
        <w:t>教育部门负责学科类校外培训</w:t>
      </w:r>
      <w:r>
        <w:rPr>
          <w:rFonts w:hint="eastAsia" w:ascii="仿宋_GB2312" w:hAnsi="仿宋_GB2312" w:eastAsia="仿宋_GB2312" w:cs="仿宋_GB2312"/>
          <w:color w:val="000000"/>
          <w:sz w:val="32"/>
          <w:szCs w:val="32"/>
          <w:highlight w:val="none"/>
          <w:lang w:val="en-US" w:eastAsia="zh-CN"/>
        </w:rPr>
        <w:t>等</w:t>
      </w:r>
      <w:r>
        <w:rPr>
          <w:rFonts w:hint="default" w:ascii="仿宋_GB2312" w:hAnsi="仿宋_GB2312" w:eastAsia="仿宋_GB2312" w:cs="仿宋_GB2312"/>
          <w:color w:val="000000"/>
          <w:sz w:val="32"/>
          <w:szCs w:val="32"/>
          <w:highlight w:val="none"/>
          <w:lang w:val="en-US" w:eastAsia="zh-CN"/>
        </w:rPr>
        <w:t>领域</w:t>
      </w:r>
      <w:r>
        <w:rPr>
          <w:rFonts w:hint="eastAsia" w:ascii="仿宋_GB2312" w:hAnsi="仿宋_GB2312" w:eastAsia="仿宋_GB2312" w:cs="仿宋_GB2312"/>
          <w:color w:val="000000"/>
          <w:sz w:val="32"/>
          <w:szCs w:val="32"/>
          <w:highlight w:val="none"/>
          <w:lang w:val="en-US" w:eastAsia="zh-CN"/>
        </w:rPr>
        <w:t>，会同科技、文化广电旅游体育、卫生健康等部门负责学前教育、非学科类校外培训、成人教育培训等领域</w:t>
      </w:r>
      <w:r>
        <w:rPr>
          <w:rFonts w:hint="default" w:ascii="仿宋_GB2312" w:hAnsi="仿宋_GB2312" w:eastAsia="仿宋_GB2312" w:cs="仿宋_GB2312"/>
          <w:color w:val="000000"/>
          <w:sz w:val="32"/>
          <w:szCs w:val="32"/>
          <w:highlight w:val="none"/>
          <w:lang w:val="en" w:eastAsia="zh-CN"/>
        </w:rPr>
        <w:t>;</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w:t>
      </w:r>
      <w:r>
        <w:rPr>
          <w:rFonts w:hint="default" w:ascii="仿宋_GB2312" w:hAnsi="仿宋_GB2312" w:eastAsia="仿宋_GB2312" w:cs="仿宋_GB2312"/>
          <w:color w:val="000000"/>
          <w:sz w:val="32"/>
          <w:szCs w:val="32"/>
          <w:highlight w:val="none"/>
          <w:lang w:val="en-US" w:eastAsia="zh-CN"/>
        </w:rPr>
        <w:t>民政部门负责养老服务</w:t>
      </w:r>
      <w:r>
        <w:rPr>
          <w:rFonts w:hint="eastAsia" w:ascii="仿宋_GB2312" w:hAnsi="仿宋_GB2312" w:eastAsia="仿宋_GB2312" w:cs="仿宋_GB2312"/>
          <w:color w:val="000000"/>
          <w:sz w:val="32"/>
          <w:szCs w:val="32"/>
          <w:highlight w:val="none"/>
          <w:lang w:val="en-US" w:eastAsia="zh-CN"/>
        </w:rPr>
        <w:t>、婚姻中介服务等领域；</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（四）</w:t>
      </w:r>
      <w:r>
        <w:rPr>
          <w:rFonts w:hint="default" w:ascii="仿宋_GB2312" w:hAnsi="仿宋_GB2312" w:eastAsia="仿宋_GB2312" w:cs="仿宋_GB2312"/>
          <w:color w:val="000000"/>
          <w:kern w:val="2"/>
          <w:sz w:val="32"/>
          <w:szCs w:val="32"/>
          <w:highlight w:val="none"/>
          <w:lang w:val="en-US" w:eastAsia="zh-CN" w:bidi="ar-SA"/>
        </w:rPr>
        <w:t>人力</w:t>
      </w:r>
      <w:r>
        <w:rPr>
          <w:rFonts w:hint="eastAsia" w:ascii="仿宋_GB2312" w:hAnsi="仿宋_GB2312" w:eastAsia="仿宋_GB2312" w:cs="仿宋_GB2312"/>
          <w:color w:val="000000"/>
          <w:kern w:val="2"/>
          <w:sz w:val="32"/>
          <w:szCs w:val="32"/>
          <w:highlight w:val="none"/>
          <w:lang w:val="en-US" w:eastAsia="zh-CN" w:bidi="ar-SA"/>
        </w:rPr>
        <w:t>资源保障</w:t>
      </w:r>
      <w:r>
        <w:rPr>
          <w:rFonts w:hint="default" w:ascii="仿宋_GB2312" w:hAnsi="仿宋_GB2312" w:eastAsia="仿宋_GB2312" w:cs="仿宋_GB2312"/>
          <w:color w:val="000000"/>
          <w:kern w:val="2"/>
          <w:sz w:val="32"/>
          <w:szCs w:val="32"/>
          <w:highlight w:val="none"/>
          <w:lang w:val="en-US" w:eastAsia="zh-CN" w:bidi="ar-SA"/>
        </w:rPr>
        <w:t>部门负责</w:t>
      </w:r>
      <w:r>
        <w:rPr>
          <w:rFonts w:hint="eastAsia" w:ascii="仿宋_GB2312" w:hAnsi="仿宋_GB2312" w:eastAsia="仿宋_GB2312" w:cs="仿宋_GB2312"/>
          <w:color w:val="000000"/>
          <w:kern w:val="2"/>
          <w:sz w:val="32"/>
          <w:szCs w:val="32"/>
          <w:highlight w:val="none"/>
          <w:lang w:val="en-US" w:eastAsia="zh-CN" w:bidi="ar-SA"/>
        </w:rPr>
        <w:t>职业资格、</w:t>
      </w:r>
      <w:r>
        <w:rPr>
          <w:rFonts w:hint="default" w:ascii="仿宋_GB2312" w:hAnsi="仿宋_GB2312" w:eastAsia="仿宋_GB2312" w:cs="仿宋_GB2312"/>
          <w:color w:val="000000"/>
          <w:kern w:val="2"/>
          <w:sz w:val="32"/>
          <w:szCs w:val="32"/>
          <w:highlight w:val="none"/>
          <w:lang w:val="en-US" w:eastAsia="zh-CN" w:bidi="ar-SA"/>
        </w:rPr>
        <w:t>职业技能培训</w:t>
      </w:r>
      <w:r>
        <w:rPr>
          <w:rFonts w:hint="eastAsia" w:ascii="仿宋_GB2312" w:hAnsi="仿宋_GB2312" w:eastAsia="仿宋_GB2312" w:cs="仿宋_GB2312"/>
          <w:color w:val="000000"/>
          <w:sz w:val="32"/>
          <w:szCs w:val="32"/>
          <w:highlight w:val="none"/>
          <w:lang w:val="en-US" w:eastAsia="zh-CN"/>
        </w:rPr>
        <w:t>等</w:t>
      </w:r>
      <w:r>
        <w:rPr>
          <w:rFonts w:hint="default" w:ascii="仿宋_GB2312" w:hAnsi="仿宋_GB2312" w:eastAsia="仿宋_GB2312" w:cs="仿宋_GB2312"/>
          <w:color w:val="000000"/>
          <w:kern w:val="2"/>
          <w:sz w:val="32"/>
          <w:szCs w:val="32"/>
          <w:highlight w:val="none"/>
          <w:lang w:val="en-US" w:eastAsia="zh-CN" w:bidi="ar-SA"/>
        </w:rPr>
        <w:t>领域</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kinsoku/>
        <w:wordWrap/>
        <w:topLinePunct w:val="0"/>
        <w:autoSpaceDE/>
        <w:autoSpaceDN/>
        <w:bidi w:val="0"/>
        <w:adjustRightInd/>
        <w:snapToGrid/>
        <w:spacing w:after="0" w:line="579" w:lineRule="exact"/>
        <w:ind w:firstLine="640" w:firstLineChars="200"/>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（五）</w:t>
      </w:r>
      <w:r>
        <w:rPr>
          <w:rFonts w:hint="default" w:ascii="仿宋_GB2312" w:hAnsi="仿宋_GB2312" w:eastAsia="仿宋_GB2312" w:cs="仿宋_GB2312"/>
          <w:color w:val="000000"/>
          <w:kern w:val="2"/>
          <w:sz w:val="32"/>
          <w:szCs w:val="32"/>
          <w:highlight w:val="none"/>
          <w:lang w:val="en-US" w:eastAsia="zh-CN" w:bidi="ar-SA"/>
        </w:rPr>
        <w:t>交通运输部门负责机动车驾驶员培</w:t>
      </w:r>
      <w:r>
        <w:rPr>
          <w:rFonts w:hint="eastAsia" w:ascii="仿宋_GB2312" w:hAnsi="仿宋_GB2312" w:eastAsia="仿宋_GB2312" w:cs="仿宋_GB2312"/>
          <w:color w:val="000000"/>
          <w:kern w:val="2"/>
          <w:sz w:val="32"/>
          <w:szCs w:val="32"/>
          <w:highlight w:val="none"/>
          <w:lang w:val="en-US" w:eastAsia="zh-CN" w:bidi="ar-SA"/>
        </w:rPr>
        <w:t>训</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机动车</w:t>
      </w:r>
      <w:r>
        <w:rPr>
          <w:rFonts w:hint="default" w:ascii="仿宋_GB2312" w:hAnsi="仿宋_GB2312" w:eastAsia="仿宋_GB2312" w:cs="仿宋_GB2312"/>
          <w:color w:val="000000"/>
          <w:sz w:val="32"/>
          <w:szCs w:val="32"/>
          <w:highlight w:val="none"/>
          <w:lang w:val="en-US" w:eastAsia="zh-CN"/>
        </w:rPr>
        <w:t>维修</w:t>
      </w:r>
      <w:r>
        <w:rPr>
          <w:rFonts w:hint="eastAsia" w:ascii="仿宋_GB2312" w:hAnsi="仿宋_GB2312" w:eastAsia="仿宋_GB2312" w:cs="仿宋_GB2312"/>
          <w:color w:val="000000"/>
          <w:sz w:val="32"/>
          <w:szCs w:val="32"/>
          <w:highlight w:val="none"/>
          <w:lang w:val="en-US" w:eastAsia="zh-CN"/>
        </w:rPr>
        <w:t>等领域；</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（六）</w:t>
      </w:r>
      <w:r>
        <w:rPr>
          <w:rFonts w:hint="default" w:ascii="仿宋_GB2312" w:hAnsi="仿宋_GB2312" w:eastAsia="仿宋_GB2312" w:cs="仿宋_GB2312"/>
          <w:color w:val="000000"/>
          <w:kern w:val="2"/>
          <w:sz w:val="32"/>
          <w:szCs w:val="32"/>
          <w:highlight w:val="none"/>
          <w:lang w:val="en-US" w:eastAsia="zh-CN" w:bidi="ar-SA"/>
        </w:rPr>
        <w:t>商务部门负责零售业、餐饮业、</w:t>
      </w:r>
      <w:r>
        <w:rPr>
          <w:rFonts w:hint="eastAsia" w:ascii="仿宋_GB2312" w:hAnsi="仿宋_GB2312" w:eastAsia="仿宋_GB2312" w:cs="仿宋_GB2312"/>
          <w:color w:val="000000"/>
          <w:kern w:val="2"/>
          <w:sz w:val="32"/>
          <w:szCs w:val="32"/>
          <w:highlight w:val="none"/>
          <w:lang w:val="en-US" w:eastAsia="zh-CN" w:bidi="ar-SA"/>
        </w:rPr>
        <w:t>家政服务、美容美发、人像摄影和按摩保健等</w:t>
      </w:r>
      <w:r>
        <w:rPr>
          <w:rFonts w:hint="eastAsia" w:ascii="仿宋_GB2312" w:hAnsi="仿宋_GB2312" w:eastAsia="仿宋_GB2312" w:cs="仿宋_GB2312"/>
          <w:color w:val="000000"/>
          <w:sz w:val="32"/>
          <w:szCs w:val="32"/>
          <w:highlight w:val="none"/>
          <w:lang w:val="en-US" w:eastAsia="zh-CN"/>
        </w:rPr>
        <w:t>领域</w:t>
      </w:r>
      <w:r>
        <w:rPr>
          <w:rFonts w:hint="eastAsia" w:ascii="仿宋_GB2312" w:hAnsi="仿宋_GB2312" w:eastAsia="仿宋_GB2312" w:cs="仿宋_GB2312"/>
          <w:color w:val="00000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（七）</w:t>
      </w:r>
      <w:r>
        <w:rPr>
          <w:rFonts w:hint="default" w:ascii="仿宋_GB2312" w:hAnsi="仿宋_GB2312" w:eastAsia="仿宋_GB2312" w:cs="仿宋_GB2312"/>
          <w:color w:val="000000"/>
          <w:kern w:val="2"/>
          <w:sz w:val="32"/>
          <w:szCs w:val="32"/>
          <w:highlight w:val="none"/>
          <w:lang w:val="en-US" w:eastAsia="zh-CN" w:bidi="ar-SA"/>
        </w:rPr>
        <w:t>文化广电旅游</w:t>
      </w:r>
      <w:r>
        <w:rPr>
          <w:rFonts w:hint="eastAsia" w:ascii="仿宋_GB2312" w:hAnsi="仿宋_GB2312" w:eastAsia="仿宋_GB2312" w:cs="仿宋_GB2312"/>
          <w:color w:val="000000"/>
          <w:kern w:val="2"/>
          <w:sz w:val="32"/>
          <w:szCs w:val="32"/>
          <w:highlight w:val="none"/>
          <w:lang w:val="en-US" w:eastAsia="zh-CN" w:bidi="ar-SA"/>
        </w:rPr>
        <w:t>体育</w:t>
      </w:r>
      <w:r>
        <w:rPr>
          <w:rFonts w:hint="default" w:ascii="仿宋_GB2312" w:hAnsi="仿宋_GB2312" w:eastAsia="仿宋_GB2312" w:cs="仿宋_GB2312"/>
          <w:color w:val="000000"/>
          <w:kern w:val="2"/>
          <w:sz w:val="32"/>
          <w:szCs w:val="32"/>
          <w:highlight w:val="none"/>
          <w:lang w:val="en-US" w:eastAsia="zh-CN" w:bidi="ar-SA"/>
        </w:rPr>
        <w:t>部门负责游艺娱乐、营业性演出市场、</w:t>
      </w:r>
      <w:r>
        <w:rPr>
          <w:rFonts w:hint="eastAsia" w:ascii="仿宋_GB2312" w:hAnsi="仿宋_GB2312" w:eastAsia="仿宋_GB2312" w:cs="仿宋_GB2312"/>
          <w:color w:val="000000"/>
          <w:kern w:val="2"/>
          <w:sz w:val="32"/>
          <w:szCs w:val="32"/>
          <w:highlight w:val="none"/>
          <w:lang w:val="en-US" w:eastAsia="zh-CN" w:bidi="ar-SA"/>
        </w:rPr>
        <w:t>旅游、旅馆</w:t>
      </w:r>
      <w:r>
        <w:rPr>
          <w:rFonts w:hint="default" w:ascii="仿宋_GB2312" w:hAnsi="仿宋_GB2312" w:eastAsia="仿宋_GB2312" w:cs="仿宋_GB2312"/>
          <w:color w:val="000000"/>
          <w:kern w:val="2"/>
          <w:sz w:val="32"/>
          <w:szCs w:val="32"/>
          <w:highlight w:val="none"/>
          <w:lang w:val="en-US" w:eastAsia="zh-CN" w:bidi="ar-SA"/>
        </w:rPr>
        <w:t>、体育健身等领域</w:t>
      </w:r>
      <w:r>
        <w:rPr>
          <w:rFonts w:hint="eastAsia" w:ascii="仿宋_GB2312" w:hAnsi="仿宋_GB2312" w:eastAsia="仿宋_GB2312" w:cs="仿宋_GB2312"/>
          <w:color w:val="00000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（八）</w:t>
      </w:r>
      <w:r>
        <w:rPr>
          <w:rFonts w:hint="default" w:ascii="仿宋_GB2312" w:hAnsi="仿宋_GB2312" w:eastAsia="仿宋_GB2312" w:cs="仿宋_GB2312"/>
          <w:color w:val="000000"/>
          <w:kern w:val="2"/>
          <w:sz w:val="32"/>
          <w:szCs w:val="32"/>
          <w:highlight w:val="none"/>
          <w:lang w:val="en-US" w:eastAsia="zh-CN" w:bidi="ar-SA"/>
        </w:rPr>
        <w:t>卫</w:t>
      </w:r>
      <w:r>
        <w:rPr>
          <w:rFonts w:hint="eastAsia" w:ascii="仿宋_GB2312" w:hAnsi="仿宋_GB2312" w:eastAsia="仿宋_GB2312" w:cs="仿宋_GB2312"/>
          <w:color w:val="000000"/>
          <w:kern w:val="2"/>
          <w:sz w:val="32"/>
          <w:szCs w:val="32"/>
          <w:highlight w:val="none"/>
          <w:lang w:val="en-US" w:eastAsia="zh-CN" w:bidi="ar-SA"/>
        </w:rPr>
        <w:t>生健康</w:t>
      </w:r>
      <w:r>
        <w:rPr>
          <w:rFonts w:hint="default" w:ascii="仿宋_GB2312" w:hAnsi="仿宋_GB2312" w:eastAsia="仿宋_GB2312" w:cs="仿宋_GB2312"/>
          <w:color w:val="000000"/>
          <w:kern w:val="2"/>
          <w:sz w:val="32"/>
          <w:szCs w:val="32"/>
          <w:highlight w:val="none"/>
          <w:lang w:val="en-US" w:eastAsia="zh-CN" w:bidi="ar-SA"/>
        </w:rPr>
        <w:t>部门负责</w:t>
      </w:r>
      <w:r>
        <w:rPr>
          <w:rFonts w:hint="eastAsia" w:ascii="仿宋_GB2312" w:hAnsi="仿宋_GB2312" w:eastAsia="仿宋_GB2312" w:cs="仿宋_GB2312"/>
          <w:color w:val="000000"/>
          <w:kern w:val="2"/>
          <w:sz w:val="32"/>
          <w:szCs w:val="32"/>
          <w:highlight w:val="none"/>
          <w:lang w:val="en-US" w:eastAsia="zh-CN" w:bidi="ar-SA"/>
        </w:rPr>
        <w:t>婴幼儿托育，中医按摩保健、医疗美容等消费型诊疗服务</w:t>
      </w:r>
      <w:r>
        <w:rPr>
          <w:rFonts w:hint="eastAsia" w:ascii="仿宋_GB2312" w:hAnsi="仿宋_GB2312" w:eastAsia="仿宋_GB2312" w:cs="仿宋_GB2312"/>
          <w:color w:val="000000"/>
          <w:sz w:val="32"/>
          <w:szCs w:val="32"/>
          <w:highlight w:val="none"/>
          <w:lang w:val="en-US" w:eastAsia="zh-CN"/>
        </w:rPr>
        <w:t>等领域</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（九）市场监管部门负责宠物诊疗等领域；</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(十）行业主管部门不明确的行业、领域，由市人民政府指定部门负责。</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公安、信访、财政、税务、司法行政、数据等部门应当依照法律、法规以及本规定，在各自职责范围内履行预付式经营监督管理职责</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地方金融管理部门以及中央驻深金融监管机构引导、支持金融机构开发符合预付式经营特点的金融产品和服务。</w:t>
      </w:r>
    </w:p>
    <w:p>
      <w:pPr>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eastAsia="zh-CN"/>
        </w:rPr>
        <w:t>第</w:t>
      </w: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sz w:val="32"/>
          <w:szCs w:val="32"/>
          <w:highlight w:val="none"/>
          <w:lang w:eastAsia="zh-CN"/>
        </w:rPr>
        <w:t>条（</w:t>
      </w:r>
      <w:r>
        <w:rPr>
          <w:rFonts w:hint="eastAsia" w:ascii="楷体_GB2312" w:hAnsi="楷体_GB2312" w:eastAsia="楷体_GB2312" w:cs="楷体_GB2312"/>
          <w:b/>
          <w:bCs/>
          <w:sz w:val="32"/>
          <w:szCs w:val="32"/>
          <w:highlight w:val="none"/>
          <w:lang w:val="en-US" w:eastAsia="zh-CN"/>
        </w:rPr>
        <w:t>行业组织职责</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lang w:eastAsia="zh-CN"/>
        </w:rPr>
        <w:t>行业组织</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lang w:eastAsia="zh-CN"/>
        </w:rPr>
        <w:t>加强行业自律，制定行业预付式经营活动规范，开展合规培训，引导、督促</w:t>
      </w:r>
      <w:r>
        <w:rPr>
          <w:rFonts w:hint="eastAsia" w:ascii="仿宋_GB2312" w:hAnsi="仿宋_GB2312" w:eastAsia="仿宋_GB2312" w:cs="仿宋_GB2312"/>
          <w:sz w:val="32"/>
          <w:szCs w:val="32"/>
          <w:highlight w:val="none"/>
          <w:lang w:val="en-US" w:eastAsia="zh-CN"/>
        </w:rPr>
        <w:t>会员单位依法</w:t>
      </w:r>
      <w:r>
        <w:rPr>
          <w:rFonts w:hint="eastAsia" w:ascii="仿宋_GB2312" w:hAnsi="仿宋_GB2312" w:eastAsia="仿宋_GB2312" w:cs="仿宋_GB2312"/>
          <w:sz w:val="32"/>
          <w:szCs w:val="32"/>
          <w:highlight w:val="none"/>
          <w:lang w:eastAsia="zh-CN"/>
        </w:rPr>
        <w:t>、诚信经营，配合</w:t>
      </w:r>
      <w:r>
        <w:rPr>
          <w:rFonts w:hint="eastAsia" w:ascii="仿宋_GB2312" w:hAnsi="仿宋_GB2312" w:eastAsia="仿宋_GB2312" w:cs="仿宋_GB2312"/>
          <w:sz w:val="32"/>
          <w:szCs w:val="32"/>
          <w:highlight w:val="none"/>
          <w:lang w:val="en-US" w:eastAsia="zh-CN"/>
        </w:rPr>
        <w:t>消费者委员会和</w:t>
      </w:r>
      <w:r>
        <w:rPr>
          <w:rFonts w:hint="eastAsia" w:ascii="仿宋_GB2312" w:hAnsi="仿宋_GB2312" w:eastAsia="仿宋_GB2312" w:cs="仿宋_GB2312"/>
          <w:sz w:val="32"/>
          <w:szCs w:val="32"/>
          <w:highlight w:val="none"/>
          <w:lang w:eastAsia="zh-CN"/>
        </w:rPr>
        <w:t>行业主管部门开展投诉处理等工作，发现损害消费者合法权益的经营者或行业现象，及时向行业主管部门报告，</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向消费者作出消费警示。</w:t>
      </w:r>
    </w:p>
    <w:p>
      <w:pPr>
        <w:pStyle w:val="2"/>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eastAsia="zh-CN"/>
        </w:rPr>
        <w:t>第</w:t>
      </w:r>
      <w:r>
        <w:rPr>
          <w:rFonts w:hint="eastAsia" w:ascii="楷体_GB2312" w:hAnsi="楷体_GB2312" w:eastAsia="楷体_GB2312" w:cs="楷体_GB2312"/>
          <w:b/>
          <w:bCs/>
          <w:sz w:val="32"/>
          <w:szCs w:val="32"/>
          <w:highlight w:val="none"/>
          <w:lang w:val="en-US" w:eastAsia="zh-CN"/>
        </w:rPr>
        <w:t>七</w:t>
      </w:r>
      <w:r>
        <w:rPr>
          <w:rFonts w:hint="eastAsia" w:ascii="楷体_GB2312" w:hAnsi="楷体_GB2312" w:eastAsia="楷体_GB2312" w:cs="楷体_GB2312"/>
          <w:b/>
          <w:bCs/>
          <w:sz w:val="32"/>
          <w:szCs w:val="32"/>
          <w:highlight w:val="none"/>
          <w:lang w:eastAsia="zh-CN"/>
        </w:rPr>
        <w:t>条（</w:t>
      </w:r>
      <w:r>
        <w:rPr>
          <w:rFonts w:hint="eastAsia" w:ascii="楷体_GB2312" w:hAnsi="楷体_GB2312" w:eastAsia="楷体_GB2312" w:cs="楷体_GB2312"/>
          <w:b/>
          <w:bCs/>
          <w:sz w:val="32"/>
          <w:szCs w:val="32"/>
          <w:highlight w:val="none"/>
          <w:lang w:val="en-US" w:eastAsia="zh-CN"/>
        </w:rPr>
        <w:t>双平台建设</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市平安建设组织协调机构会同市市场监管部门建设并管理全市统一的预付式经营主体监测监管系统、公共信息查询平台。</w:t>
      </w:r>
    </w:p>
    <w:p>
      <w:pPr>
        <w:pStyle w:val="2"/>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市数据部门、市财政部门负责配合做好预付式经营主体监测监管系统和公共信息查询平台的建设、管理以及运行维护等保障工作。行业主管部门负责督促预付式经营主体按照本规定完成信息备案,</w:t>
      </w:r>
      <w:r>
        <w:rPr>
          <w:rFonts w:hint="eastAsia" w:ascii="仿宋_GB2312" w:hAnsi="仿宋_GB2312" w:eastAsia="仿宋_GB2312" w:cs="仿宋_GB2312"/>
          <w:b w:val="0"/>
          <w:bCs w:val="0"/>
          <w:color w:val="000000"/>
          <w:sz w:val="32"/>
          <w:szCs w:val="32"/>
          <w:highlight w:val="none"/>
          <w:lang w:val="en-US" w:eastAsia="zh-CN"/>
        </w:rPr>
        <w:t>配合提供平台建设所需要的数据。</w:t>
      </w:r>
    </w:p>
    <w:p>
      <w:pPr>
        <w:pStyle w:val="2"/>
        <w:spacing w:after="0" w:line="579"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预付式经营主体监测监管系统承担经营者信息备案、经营主体库动态更新、风险监测预警、分级分类监管、核查处置闭环管理等功能，</w:t>
      </w:r>
      <w:r>
        <w:rPr>
          <w:rFonts w:hint="eastAsia" w:ascii="仿宋_GB2312" w:hAnsi="仿宋_GB2312" w:eastAsia="仿宋_GB2312" w:cs="仿宋_GB2312"/>
          <w:color w:val="000000"/>
          <w:kern w:val="2"/>
          <w:sz w:val="32"/>
          <w:szCs w:val="32"/>
          <w:highlight w:val="none"/>
          <w:lang w:val="en-US" w:eastAsia="zh-CN" w:bidi="ar-SA"/>
        </w:rPr>
        <w:t>健全市、区、街道三级联动核查处置机制。</w:t>
      </w:r>
    </w:p>
    <w:p>
      <w:pPr>
        <w:pStyle w:val="2"/>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公共信息查询平台承担经营者信息报送、监管信息归集、预付式经营主体信息查询、协助监管上报等功能，保</w:t>
      </w:r>
      <w:r>
        <w:rPr>
          <w:rFonts w:hint="eastAsia" w:ascii="仿宋_GB2312" w:hAnsi="仿宋_GB2312" w:eastAsia="仿宋_GB2312" w:cs="仿宋_GB2312"/>
          <w:b w:val="0"/>
          <w:bCs w:val="0"/>
          <w:sz w:val="32"/>
          <w:szCs w:val="32"/>
          <w:highlight w:val="none"/>
          <w:lang w:val="en-US" w:eastAsia="zh-CN"/>
        </w:rPr>
        <w:t>障消费者知情权与监督权。</w:t>
      </w:r>
    </w:p>
    <w:p>
      <w:pPr>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eastAsia="zh-CN"/>
        </w:rPr>
        <w:t>第</w:t>
      </w:r>
      <w:r>
        <w:rPr>
          <w:rFonts w:hint="eastAsia" w:ascii="楷体_GB2312" w:hAnsi="楷体_GB2312" w:eastAsia="楷体_GB2312" w:cs="楷体_GB2312"/>
          <w:b/>
          <w:bCs/>
          <w:sz w:val="32"/>
          <w:szCs w:val="32"/>
          <w:highlight w:val="none"/>
          <w:lang w:val="en-US" w:eastAsia="zh-CN"/>
        </w:rPr>
        <w:t>八</w:t>
      </w:r>
      <w:r>
        <w:rPr>
          <w:rFonts w:hint="eastAsia" w:ascii="楷体_GB2312" w:hAnsi="楷体_GB2312" w:eastAsia="楷体_GB2312" w:cs="楷体_GB2312"/>
          <w:b/>
          <w:bCs/>
          <w:sz w:val="32"/>
          <w:szCs w:val="32"/>
          <w:highlight w:val="none"/>
          <w:lang w:eastAsia="zh-CN"/>
        </w:rPr>
        <w:t>条（不得收取预付款的情形）</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经营者有下列情形之一的，不得</w:t>
      </w:r>
      <w:r>
        <w:rPr>
          <w:rFonts w:hint="eastAsia" w:ascii="仿宋_GB2312" w:hAnsi="仿宋_GB2312" w:eastAsia="仿宋_GB2312" w:cs="仿宋_GB2312"/>
          <w:sz w:val="32"/>
          <w:szCs w:val="32"/>
          <w:highlight w:val="none"/>
          <w:lang w:eastAsia="zh-CN"/>
        </w:rPr>
        <w:t>收取预付款</w:t>
      </w:r>
      <w:r>
        <w:rPr>
          <w:rFonts w:hint="eastAsia" w:ascii="仿宋_GB2312" w:hAnsi="仿宋_GB2312" w:eastAsia="仿宋_GB2312" w:cs="仿宋_GB2312"/>
          <w:sz w:val="32"/>
          <w:szCs w:val="32"/>
          <w:highlight w:val="none"/>
        </w:rPr>
        <w:t>：</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（一）被人民法院列为失信被执行人，或者其法定代表人、主要负责人、实际控制人因其单位违法行为被人民法院列为失信被执行人的；</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被列入严重失信主体名单的；</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通过登记的住所或者经营场所无法联系，被列入经营异常名录的；</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）三年内因违反预付式经营管理相关规定受到行政处罚的；</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正在办理</w:t>
      </w:r>
      <w:r>
        <w:rPr>
          <w:rFonts w:hint="eastAsia" w:ascii="仿宋_GB2312" w:hAnsi="仿宋_GB2312" w:eastAsia="仿宋_GB2312" w:cs="仿宋_GB2312"/>
          <w:sz w:val="32"/>
          <w:szCs w:val="32"/>
          <w:highlight w:val="none"/>
          <w:lang w:eastAsia="zh-CN"/>
        </w:rPr>
        <w:t>证照</w:t>
      </w:r>
      <w:r>
        <w:rPr>
          <w:rFonts w:hint="eastAsia" w:ascii="仿宋_GB2312" w:hAnsi="仿宋_GB2312" w:eastAsia="仿宋_GB2312" w:cs="仿宋_GB2312"/>
          <w:sz w:val="32"/>
          <w:szCs w:val="32"/>
          <w:highlight w:val="none"/>
        </w:rPr>
        <w:t>注销手续</w:t>
      </w:r>
      <w:r>
        <w:rPr>
          <w:rFonts w:hint="eastAsia" w:ascii="仿宋_GB2312" w:hAnsi="仿宋_GB2312" w:eastAsia="仿宋_GB2312" w:cs="仿宋_GB2312"/>
          <w:sz w:val="32"/>
          <w:szCs w:val="32"/>
          <w:highlight w:val="none"/>
          <w:lang w:eastAsia="zh-CN"/>
        </w:rPr>
        <w:t>或者证照已过有效期</w:t>
      </w:r>
      <w:r>
        <w:rPr>
          <w:rFonts w:hint="eastAsia" w:ascii="仿宋_GB2312" w:hAnsi="仿宋_GB2312" w:eastAsia="仿宋_GB2312" w:cs="仿宋_GB2312"/>
          <w:sz w:val="32"/>
          <w:szCs w:val="32"/>
          <w:highlight w:val="none"/>
        </w:rPr>
        <w:t>的；</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）有本规定第</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十七</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rPr>
        <w:t>规定情形的；</w:t>
      </w:r>
    </w:p>
    <w:p>
      <w:pPr>
        <w:keepNext w:val="0"/>
        <w:keepLines w:val="0"/>
        <w:widowControl/>
        <w:suppressLineNumbers w:val="0"/>
        <w:overflowPunct w:val="0"/>
        <w:autoSpaceDE/>
        <w:autoSpaceDN/>
        <w:spacing w:before="0" w:beforeAutospacing="0" w:after="0" w:afterAutospacing="0" w:line="579" w:lineRule="exact"/>
        <w:ind w:left="0" w:right="0" w:firstLine="640" w:firstLineChars="200"/>
        <w:jc w:val="left"/>
        <w:rPr>
          <w:rFonts w:hint="eastAsia" w:ascii="楷体_GB2312" w:hAnsi="楷体_GB2312" w:eastAsia="楷体_GB2312" w:cs="楷体_GB2312"/>
          <w:b/>
          <w:bCs/>
          <w:kern w:val="2"/>
          <w:sz w:val="32"/>
          <w:szCs w:val="32"/>
          <w:highlight w:val="none"/>
          <w:lang w:val="en-US" w:eastAsia="zh-CN" w:bidi="ar"/>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）法律、行政法规等规定的其他情形</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第九条（经营者信息备案） </w:t>
      </w:r>
      <w:r>
        <w:rPr>
          <w:rFonts w:hint="eastAsia" w:ascii="仿宋_GB2312" w:hAnsi="仿宋_GB2312" w:eastAsia="仿宋_GB2312" w:cs="仿宋_GB2312"/>
          <w:sz w:val="32"/>
          <w:szCs w:val="32"/>
          <w:highlight w:val="none"/>
        </w:rPr>
        <w:t>经营者</w:t>
      </w:r>
      <w:r>
        <w:rPr>
          <w:rFonts w:hint="eastAsia" w:ascii="仿宋_GB2312" w:hAnsi="仿宋_GB2312" w:eastAsia="仿宋_GB2312" w:cs="仿宋_GB2312"/>
          <w:sz w:val="32"/>
          <w:szCs w:val="32"/>
          <w:highlight w:val="none"/>
          <w:lang w:eastAsia="zh-CN"/>
        </w:rPr>
        <w:t>在开展预付式经营活动前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b w:val="0"/>
          <w:bCs w:val="0"/>
          <w:sz w:val="32"/>
          <w:szCs w:val="32"/>
          <w:highlight w:val="none"/>
          <w:lang w:val="en-US" w:eastAsia="zh-CN"/>
        </w:rPr>
        <w:t>公共信息查询平台报送以下信息：</w:t>
      </w:r>
    </w:p>
    <w:p>
      <w:pPr>
        <w:pStyle w:val="2"/>
        <w:keepNext w:val="0"/>
        <w:keepLines w:val="0"/>
        <w:pageBreakBefore w:val="0"/>
        <w:numPr>
          <w:ilvl w:val="0"/>
          <w:numId w:val="2"/>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经营者名称、统一社会信用代码及店铺名称；</w:t>
      </w:r>
    </w:p>
    <w:p>
      <w:pPr>
        <w:pStyle w:val="2"/>
        <w:keepNext w:val="0"/>
        <w:keepLines w:val="0"/>
        <w:pageBreakBefore w:val="0"/>
        <w:numPr>
          <w:ilvl w:val="0"/>
          <w:numId w:val="2"/>
        </w:numPr>
        <w:kinsoku/>
        <w:wordWrap/>
        <w:topLinePunct w:val="0"/>
        <w:autoSpaceDE/>
        <w:autoSpaceDN/>
        <w:bidi w:val="0"/>
        <w:adjustRightInd/>
        <w:snapToGrid/>
        <w:spacing w:after="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法定代表人、实际控制人姓名、住址及联系方式；</w:t>
      </w:r>
    </w:p>
    <w:p>
      <w:pPr>
        <w:pStyle w:val="2"/>
        <w:keepNext w:val="0"/>
        <w:keepLines w:val="0"/>
        <w:pageBreakBefore w:val="0"/>
        <w:numPr>
          <w:ilvl w:val="0"/>
          <w:numId w:val="2"/>
        </w:numPr>
        <w:kinsoku/>
        <w:wordWrap/>
        <w:topLinePunct w:val="0"/>
        <w:autoSpaceDE/>
        <w:autoSpaceDN/>
        <w:bidi w:val="0"/>
        <w:adjustRightInd/>
        <w:snapToGrid/>
        <w:spacing w:after="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联系人及联系方式；</w:t>
      </w:r>
    </w:p>
    <w:p>
      <w:pPr>
        <w:pStyle w:val="2"/>
        <w:keepNext w:val="0"/>
        <w:keepLines w:val="0"/>
        <w:pageBreakBefore w:val="0"/>
        <w:numPr>
          <w:ilvl w:val="0"/>
          <w:numId w:val="2"/>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实际经营场所、经营场所物权属性。</w:t>
      </w:r>
    </w:p>
    <w:p>
      <w:pPr>
        <w:keepNext w:val="0"/>
        <w:keepLines w:val="0"/>
        <w:pageBreakBefore w:val="0"/>
        <w:kinsoku/>
        <w:wordWrap/>
        <w:topLinePunct w:val="0"/>
        <w:autoSpaceDE/>
        <w:autoSpaceDN/>
        <w:bidi w:val="0"/>
        <w:adjustRightInd/>
        <w:snapToGrid/>
        <w:spacing w:after="0" w:line="579"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前款报送</w:t>
      </w:r>
      <w:r>
        <w:rPr>
          <w:rFonts w:hint="eastAsia" w:ascii="仿宋_GB2312" w:hAnsi="仿宋_GB2312" w:eastAsia="仿宋_GB2312" w:cs="仿宋_GB2312"/>
          <w:sz w:val="32"/>
          <w:szCs w:val="32"/>
          <w:highlight w:val="none"/>
          <w:lang w:eastAsia="zh-CN"/>
        </w:rPr>
        <w:t>信息发生变更时，经营者应当自变更之日起十日内</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b w:val="0"/>
          <w:bCs w:val="0"/>
          <w:sz w:val="32"/>
          <w:szCs w:val="32"/>
          <w:highlight w:val="none"/>
          <w:lang w:val="en-US" w:eastAsia="zh-CN"/>
        </w:rPr>
        <w:t>公共信息查询平台</w:t>
      </w:r>
      <w:r>
        <w:rPr>
          <w:rFonts w:hint="eastAsia" w:ascii="仿宋_GB2312" w:hAnsi="仿宋_GB2312" w:eastAsia="仿宋_GB2312" w:cs="仿宋_GB2312"/>
          <w:sz w:val="32"/>
          <w:szCs w:val="32"/>
          <w:highlight w:val="none"/>
          <w:lang w:val="en-US" w:eastAsia="zh-CN"/>
        </w:rPr>
        <w:t>完成变更</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after="0" w:line="579" w:lineRule="exact"/>
        <w:ind w:firstLine="643" w:firstLineChars="200"/>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bCs/>
          <w:sz w:val="32"/>
          <w:szCs w:val="32"/>
          <w:highlight w:val="none"/>
        </w:rPr>
        <w:t>第十条</w:t>
      </w:r>
      <w:r>
        <w:rPr>
          <w:rFonts w:hint="eastAsia" w:ascii="楷体_GB2312" w:hAnsi="楷体_GB2312" w:eastAsia="楷体_GB2312" w:cs="楷体_GB2312"/>
          <w:b/>
          <w:bCs/>
          <w:sz w:val="32"/>
          <w:szCs w:val="32"/>
          <w:highlight w:val="none"/>
          <w:lang w:eastAsia="zh-CN"/>
        </w:rPr>
        <w:t>（信息公示）</w:t>
      </w:r>
      <w:r>
        <w:rPr>
          <w:rFonts w:hint="eastAsia" w:ascii="楷体_GB2312" w:hAnsi="楷体_GB2312" w:eastAsia="楷体_GB2312" w:cs="楷体_GB2312"/>
          <w:b/>
          <w:bCs/>
          <w:sz w:val="32"/>
          <w:szCs w:val="32"/>
          <w:highlight w:val="none"/>
        </w:rPr>
        <w:t xml:space="preserve"> </w:t>
      </w:r>
      <w:r>
        <w:rPr>
          <w:rFonts w:hint="eastAsia" w:ascii="仿宋_GB2312" w:hAnsi="仿宋_GB2312" w:eastAsia="仿宋_GB2312" w:cs="仿宋_GB2312"/>
          <w:b w:val="0"/>
          <w:bCs w:val="0"/>
          <w:sz w:val="32"/>
          <w:szCs w:val="32"/>
          <w:highlight w:val="none"/>
          <w:lang w:val="en-US" w:eastAsia="zh-CN"/>
        </w:rPr>
        <w:t>经营者应当在经营场所、网站、网店首页等的显著位置公示</w:t>
      </w:r>
      <w:r>
        <w:rPr>
          <w:rFonts w:hint="eastAsia" w:ascii="仿宋_GB2312" w:hAnsi="仿宋_GB2312" w:eastAsia="仿宋_GB2312" w:cs="仿宋_GB2312"/>
          <w:b w:val="0"/>
          <w:bCs w:val="0"/>
          <w:sz w:val="32"/>
          <w:szCs w:val="32"/>
          <w:highlight w:val="none"/>
          <w:lang w:eastAsia="zh-CN"/>
        </w:rPr>
        <w:t>预付式经营活动相关的商品</w:t>
      </w:r>
      <w:r>
        <w:rPr>
          <w:rFonts w:hint="eastAsia" w:ascii="仿宋_GB2312" w:hAnsi="仿宋_GB2312" w:eastAsia="仿宋_GB2312" w:cs="仿宋_GB2312"/>
          <w:b w:val="0"/>
          <w:bCs w:val="0"/>
          <w:sz w:val="32"/>
          <w:szCs w:val="32"/>
          <w:highlight w:val="none"/>
        </w:rPr>
        <w:t>或服务</w:t>
      </w:r>
      <w:r>
        <w:rPr>
          <w:rFonts w:hint="eastAsia" w:ascii="仿宋_GB2312" w:hAnsi="仿宋_GB2312" w:eastAsia="仿宋_GB2312" w:cs="仿宋_GB2312"/>
          <w:b w:val="0"/>
          <w:bCs w:val="0"/>
          <w:sz w:val="32"/>
          <w:szCs w:val="32"/>
          <w:highlight w:val="none"/>
          <w:lang w:eastAsia="zh-CN"/>
        </w:rPr>
        <w:t>内容、</w:t>
      </w:r>
      <w:r>
        <w:rPr>
          <w:rFonts w:hint="eastAsia" w:ascii="仿宋_GB2312" w:hAnsi="仿宋_GB2312" w:eastAsia="仿宋_GB2312" w:cs="仿宋_GB2312"/>
          <w:b w:val="0"/>
          <w:bCs w:val="0"/>
          <w:sz w:val="32"/>
          <w:szCs w:val="32"/>
          <w:highlight w:val="none"/>
        </w:rPr>
        <w:t>使用范围、</w:t>
      </w:r>
      <w:r>
        <w:rPr>
          <w:rFonts w:hint="eastAsia" w:ascii="仿宋_GB2312" w:hAnsi="仿宋_GB2312" w:eastAsia="仿宋_GB2312" w:cs="仿宋_GB2312"/>
          <w:b w:val="0"/>
          <w:bCs w:val="0"/>
          <w:sz w:val="32"/>
          <w:szCs w:val="32"/>
          <w:highlight w:val="none"/>
          <w:lang w:eastAsia="zh-CN"/>
        </w:rPr>
        <w:t>收费标准、</w:t>
      </w:r>
      <w:r>
        <w:rPr>
          <w:rFonts w:hint="eastAsia" w:ascii="仿宋_GB2312" w:hAnsi="仿宋_GB2312" w:eastAsia="仿宋_GB2312" w:cs="仿宋_GB2312"/>
          <w:b w:val="0"/>
          <w:bCs w:val="0"/>
          <w:sz w:val="32"/>
          <w:szCs w:val="32"/>
          <w:highlight w:val="none"/>
          <w:lang w:val="en-US" w:eastAsia="zh-CN"/>
        </w:rPr>
        <w:t>经营场所自有或租赁</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租期</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预收资金用途和管理方式</w:t>
      </w:r>
      <w:r>
        <w:rPr>
          <w:rFonts w:hint="eastAsia" w:ascii="仿宋_GB2312" w:hAnsi="仿宋_GB2312" w:eastAsia="仿宋_GB2312" w:cs="仿宋_GB2312"/>
          <w:b w:val="0"/>
          <w:bCs w:val="0"/>
          <w:sz w:val="32"/>
          <w:szCs w:val="32"/>
          <w:highlight w:val="none"/>
        </w:rPr>
        <w:t>、余额查询渠道</w:t>
      </w:r>
      <w:r>
        <w:rPr>
          <w:rFonts w:hint="eastAsia" w:ascii="仿宋_GB2312" w:hAnsi="仿宋_GB2312" w:eastAsia="仿宋_GB2312" w:cs="仿宋_GB2312"/>
          <w:b w:val="0"/>
          <w:bCs w:val="0"/>
          <w:sz w:val="32"/>
          <w:szCs w:val="32"/>
          <w:highlight w:val="none"/>
          <w:lang w:eastAsia="zh-CN"/>
        </w:rPr>
        <w:t>、退款规则</w:t>
      </w:r>
      <w:r>
        <w:rPr>
          <w:rFonts w:hint="eastAsia" w:ascii="仿宋_GB2312" w:hAnsi="仿宋_GB2312" w:eastAsia="仿宋_GB2312" w:cs="仿宋_GB2312"/>
          <w:b w:val="0"/>
          <w:bCs w:val="0"/>
          <w:sz w:val="32"/>
          <w:szCs w:val="32"/>
          <w:highlight w:val="none"/>
        </w:rPr>
        <w:t>等信息。</w:t>
      </w:r>
    </w:p>
    <w:p>
      <w:pPr>
        <w:keepNext w:val="0"/>
        <w:keepLines w:val="0"/>
        <w:pageBreakBefore w:val="0"/>
        <w:kinsoku/>
        <w:wordWrap/>
        <w:overflowPunct w:val="0"/>
        <w:topLinePunct w:val="0"/>
        <w:autoSpaceDE/>
        <w:autoSpaceDN/>
        <w:bidi w:val="0"/>
        <w:adjustRightInd/>
        <w:snapToGrid/>
        <w:spacing w:after="0"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商业综合体、商圈、商品交易市场、园区等场地运营管理方应当集中公示场内预付式经营者的</w:t>
      </w:r>
      <w:r>
        <w:rPr>
          <w:rFonts w:hint="eastAsia" w:ascii="仿宋_GB2312" w:hAnsi="仿宋_GB2312" w:eastAsia="仿宋_GB2312" w:cs="仿宋_GB2312"/>
          <w:b w:val="0"/>
          <w:bCs w:val="0"/>
          <w:sz w:val="32"/>
          <w:szCs w:val="32"/>
          <w:highlight w:val="none"/>
          <w:lang w:eastAsia="zh-CN"/>
        </w:rPr>
        <w:t>名称、联系方式、租期等</w:t>
      </w:r>
      <w:r>
        <w:rPr>
          <w:rFonts w:hint="eastAsia" w:ascii="仿宋_GB2312" w:hAnsi="仿宋_GB2312" w:eastAsia="仿宋_GB2312" w:cs="仿宋_GB2312"/>
          <w:b w:val="0"/>
          <w:bCs w:val="0"/>
          <w:sz w:val="32"/>
          <w:szCs w:val="32"/>
          <w:highlight w:val="none"/>
          <w:lang w:val="en-US" w:eastAsia="zh-CN"/>
        </w:rPr>
        <w:t>信息。</w:t>
      </w:r>
    </w:p>
    <w:p>
      <w:pPr>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b w:val="0"/>
          <w:bCs w:val="0"/>
          <w:sz w:val="32"/>
          <w:szCs w:val="32"/>
          <w:highlight w:val="none"/>
          <w:u w:val="none"/>
          <w:lang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eastAsia="zh-CN"/>
        </w:rPr>
        <w:t>十</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预收资金安全保障机制</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u w:val="none"/>
          <w:lang w:eastAsia="zh-CN"/>
        </w:rPr>
        <w:t>经营者可以根据经营需要，选择商业银行专项账户资金存管、数字人民币钱包、信托服务、履约保证保险、银行保函、公证提存、第三方支付平台存管等一种或多种</w:t>
      </w:r>
      <w:r>
        <w:rPr>
          <w:rFonts w:hint="eastAsia" w:ascii="仿宋_GB2312" w:hAnsi="仿宋_GB2312" w:eastAsia="仿宋_GB2312" w:cs="仿宋_GB2312"/>
          <w:b w:val="0"/>
          <w:bCs w:val="0"/>
          <w:sz w:val="32"/>
          <w:szCs w:val="32"/>
          <w:highlight w:val="none"/>
          <w:u w:val="none"/>
          <w:lang w:val="en-US" w:eastAsia="zh-CN"/>
        </w:rPr>
        <w:t>措施，保障</w:t>
      </w:r>
      <w:r>
        <w:rPr>
          <w:rFonts w:hint="eastAsia" w:ascii="仿宋_GB2312" w:hAnsi="仿宋_GB2312" w:eastAsia="仿宋_GB2312" w:cs="仿宋_GB2312"/>
          <w:b w:val="0"/>
          <w:bCs w:val="0"/>
          <w:sz w:val="32"/>
          <w:szCs w:val="32"/>
          <w:highlight w:val="none"/>
          <w:u w:val="none"/>
          <w:lang w:eastAsia="zh-CN"/>
        </w:rPr>
        <w:t>预</w:t>
      </w:r>
      <w:r>
        <w:rPr>
          <w:rFonts w:hint="eastAsia" w:ascii="仿宋_GB2312" w:hAnsi="仿宋_GB2312" w:eastAsia="仿宋_GB2312" w:cs="仿宋_GB2312"/>
          <w:b w:val="0"/>
          <w:bCs w:val="0"/>
          <w:sz w:val="32"/>
          <w:szCs w:val="32"/>
          <w:highlight w:val="none"/>
          <w:u w:val="none"/>
          <w:lang w:val="en-US" w:eastAsia="zh-CN"/>
        </w:rPr>
        <w:t>收</w:t>
      </w:r>
      <w:r>
        <w:rPr>
          <w:rFonts w:hint="eastAsia" w:ascii="仿宋_GB2312" w:hAnsi="仿宋_GB2312" w:eastAsia="仿宋_GB2312" w:cs="仿宋_GB2312"/>
          <w:b w:val="0"/>
          <w:bCs w:val="0"/>
          <w:sz w:val="32"/>
          <w:szCs w:val="32"/>
          <w:highlight w:val="none"/>
          <w:u w:val="none"/>
          <w:lang w:eastAsia="zh-CN"/>
        </w:rPr>
        <w:t>资金安全。</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经营者按照前款规定，对全部预收资金采取有效安全保障措施的，可以不适用本规定第十三条关于预付款金额和服务期限的限制规定。</w:t>
      </w:r>
    </w:p>
    <w:p>
      <w:pPr>
        <w:keepNext w:val="0"/>
        <w:keepLines w:val="0"/>
        <w:pageBreakBefore w:val="0"/>
        <w:kinsoku/>
        <w:wordWrap/>
        <w:topLinePunct w:val="0"/>
        <w:autoSpaceDE/>
        <w:autoSpaceDN/>
        <w:bidi w:val="0"/>
        <w:adjustRightInd/>
        <w:snapToGrid/>
        <w:spacing w:after="0" w:line="579" w:lineRule="exact"/>
        <w:ind w:firstLine="643" w:firstLineChars="200"/>
        <w:rPr>
          <w:rFonts w:hint="default" w:ascii="仿宋_GB2312" w:hAnsi="仿宋_GB2312" w:eastAsia="仿宋_GB2312" w:cs="仿宋_GB2312"/>
          <w:b w:val="0"/>
          <w:bCs w:val="0"/>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 xml:space="preserve">第十二条（金融监管与服务） </w:t>
      </w:r>
      <w:r>
        <w:rPr>
          <w:rFonts w:hint="eastAsia" w:ascii="仿宋_GB2312" w:hAnsi="仿宋_GB2312" w:eastAsia="仿宋_GB2312" w:cs="仿宋_GB2312"/>
          <w:b w:val="0"/>
          <w:bCs w:val="0"/>
          <w:sz w:val="32"/>
          <w:szCs w:val="32"/>
          <w:highlight w:val="none"/>
          <w:u w:val="none"/>
          <w:lang w:eastAsia="zh-CN"/>
        </w:rPr>
        <w:t>金融机构配合经营者将</w:t>
      </w:r>
      <w:r>
        <w:rPr>
          <w:rFonts w:hint="eastAsia" w:ascii="仿宋_GB2312" w:hAnsi="仿宋_GB2312" w:eastAsia="仿宋_GB2312" w:cs="仿宋_GB2312"/>
          <w:b w:val="0"/>
          <w:bCs w:val="0"/>
          <w:sz w:val="32"/>
          <w:szCs w:val="32"/>
          <w:highlight w:val="none"/>
          <w:u w:val="none"/>
          <w:lang w:val="en-US" w:eastAsia="zh-CN"/>
        </w:rPr>
        <w:t>预收</w:t>
      </w:r>
      <w:r>
        <w:rPr>
          <w:rFonts w:hint="eastAsia" w:ascii="仿宋_GB2312" w:hAnsi="仿宋_GB2312" w:eastAsia="仿宋_GB2312" w:cs="仿宋_GB2312"/>
          <w:b w:val="0"/>
          <w:bCs w:val="0"/>
          <w:sz w:val="32"/>
          <w:szCs w:val="32"/>
          <w:highlight w:val="none"/>
          <w:u w:val="none"/>
          <w:lang w:eastAsia="zh-CN"/>
        </w:rPr>
        <w:t>资金独立于自有财产，实行分账管理、专户核算，按照经营者与消费者约定的消费进度、退款条件等进行拨付。</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val="en-US" w:eastAsia="zh-CN"/>
        </w:rPr>
        <w:t>金融机构</w:t>
      </w:r>
      <w:r>
        <w:rPr>
          <w:rFonts w:hint="eastAsia" w:ascii="仿宋_GB2312" w:hAnsi="仿宋_GB2312" w:eastAsia="仿宋_GB2312" w:cs="仿宋_GB2312"/>
          <w:b w:val="0"/>
          <w:bCs w:val="0"/>
          <w:sz w:val="32"/>
          <w:szCs w:val="32"/>
          <w:highlight w:val="none"/>
          <w:u w:val="none"/>
          <w:lang w:eastAsia="zh-CN"/>
        </w:rPr>
        <w:t>配合行业主管部门开展预付式经营监管工作，并建立资金异动监测机制，发现资金异常流动等风险情形的，向</w:t>
      </w:r>
      <w:r>
        <w:rPr>
          <w:rFonts w:hint="default" w:ascii="仿宋_GB2312" w:hAnsi="仿宋_GB2312" w:eastAsia="仿宋_GB2312" w:cs="仿宋_GB2312"/>
          <w:b w:val="0"/>
          <w:bCs w:val="0"/>
          <w:color w:val="000000"/>
          <w:sz w:val="32"/>
          <w:szCs w:val="32"/>
          <w:highlight w:val="none"/>
          <w:lang w:val="en" w:eastAsia="zh-CN"/>
        </w:rPr>
        <w:t>预付式经营</w:t>
      </w:r>
      <w:r>
        <w:rPr>
          <w:rFonts w:hint="eastAsia" w:ascii="仿宋_GB2312" w:hAnsi="仿宋_GB2312" w:eastAsia="仿宋_GB2312" w:cs="仿宋_GB2312"/>
          <w:b w:val="0"/>
          <w:bCs w:val="0"/>
          <w:color w:val="000000"/>
          <w:sz w:val="32"/>
          <w:szCs w:val="32"/>
          <w:highlight w:val="none"/>
          <w:lang w:val="en" w:eastAsia="zh-CN"/>
        </w:rPr>
        <w:t>监管议事协调机构</w:t>
      </w:r>
      <w:r>
        <w:rPr>
          <w:rFonts w:hint="eastAsia" w:ascii="仿宋_GB2312" w:hAnsi="仿宋_GB2312" w:eastAsia="仿宋_GB2312" w:cs="仿宋_GB2312"/>
          <w:b w:val="0"/>
          <w:bCs w:val="0"/>
          <w:sz w:val="32"/>
          <w:szCs w:val="32"/>
          <w:highlight w:val="none"/>
          <w:u w:val="none"/>
          <w:lang w:eastAsia="zh-CN"/>
        </w:rPr>
        <w:t>、属地行业主管部门和公安、地方金融管理、中央驻深金融监管机构等部门报告，并依法采取必要措施。</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鼓励金融机构对按照本</w:t>
      </w:r>
      <w:r>
        <w:rPr>
          <w:rFonts w:hint="eastAsia" w:ascii="仿宋_GB2312" w:hAnsi="仿宋_GB2312" w:eastAsia="仿宋_GB2312" w:cs="仿宋_GB2312"/>
          <w:b w:val="0"/>
          <w:bCs w:val="0"/>
          <w:sz w:val="32"/>
          <w:szCs w:val="32"/>
          <w:highlight w:val="none"/>
          <w:u w:val="none"/>
          <w:lang w:val="en-US" w:eastAsia="zh-CN"/>
        </w:rPr>
        <w:t>规定第十一条</w:t>
      </w:r>
      <w:r>
        <w:rPr>
          <w:rFonts w:hint="eastAsia" w:ascii="仿宋_GB2312" w:hAnsi="仿宋_GB2312" w:eastAsia="仿宋_GB2312" w:cs="仿宋_GB2312"/>
          <w:b w:val="0"/>
          <w:bCs w:val="0"/>
          <w:sz w:val="32"/>
          <w:szCs w:val="32"/>
          <w:highlight w:val="none"/>
          <w:u w:val="none"/>
          <w:lang w:eastAsia="zh-CN"/>
        </w:rPr>
        <w:t>建立</w:t>
      </w:r>
      <w:r>
        <w:rPr>
          <w:rFonts w:hint="eastAsia" w:ascii="仿宋_GB2312" w:hAnsi="仿宋_GB2312" w:eastAsia="仿宋_GB2312" w:cs="仿宋_GB2312"/>
          <w:b w:val="0"/>
          <w:bCs w:val="0"/>
          <w:sz w:val="32"/>
          <w:szCs w:val="32"/>
          <w:highlight w:val="none"/>
          <w:u w:val="none"/>
          <w:lang w:val="en-US" w:eastAsia="zh-CN"/>
        </w:rPr>
        <w:t>预收</w:t>
      </w:r>
      <w:r>
        <w:rPr>
          <w:rFonts w:hint="eastAsia" w:ascii="仿宋_GB2312" w:hAnsi="仿宋_GB2312" w:eastAsia="仿宋_GB2312" w:cs="仿宋_GB2312"/>
          <w:b w:val="0"/>
          <w:bCs w:val="0"/>
          <w:sz w:val="32"/>
          <w:szCs w:val="32"/>
          <w:highlight w:val="none"/>
          <w:u w:val="none"/>
          <w:lang w:eastAsia="zh-CN"/>
        </w:rPr>
        <w:t>资金安全保障机制的经营者，在授信额度、贷款利率、担保条件等方面依法给予优惠和支持。</w:t>
      </w:r>
    </w:p>
    <w:p>
      <w:pPr>
        <w:keepNext w:val="0"/>
        <w:keepLines w:val="0"/>
        <w:pageBreakBefore w:val="0"/>
        <w:kinsoku/>
        <w:wordWrap/>
        <w:topLinePunct w:val="0"/>
        <w:autoSpaceDE/>
        <w:autoSpaceDN/>
        <w:bidi w:val="0"/>
        <w:adjustRightInd/>
        <w:snapToGrid/>
        <w:spacing w:after="0" w:line="579"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eastAsia="zh-CN"/>
        </w:rPr>
        <w:t>第十</w:t>
      </w: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lang w:eastAsia="zh-CN"/>
        </w:rPr>
        <w:t>条（</w:t>
      </w:r>
      <w:r>
        <w:rPr>
          <w:rFonts w:hint="default" w:ascii="楷体_GB2312" w:hAnsi="楷体_GB2312" w:eastAsia="楷体_GB2312" w:cs="楷体_GB2312"/>
          <w:b/>
          <w:bCs/>
          <w:sz w:val="32"/>
          <w:szCs w:val="32"/>
          <w:highlight w:val="none"/>
          <w:lang w:eastAsia="zh-CN"/>
        </w:rPr>
        <w:t>预</w:t>
      </w:r>
      <w:r>
        <w:rPr>
          <w:rFonts w:hint="eastAsia" w:ascii="楷体_GB2312" w:hAnsi="楷体_GB2312" w:eastAsia="楷体_GB2312" w:cs="楷体_GB2312"/>
          <w:b/>
          <w:bCs/>
          <w:sz w:val="32"/>
          <w:szCs w:val="32"/>
          <w:highlight w:val="none"/>
          <w:lang w:val="en-US" w:eastAsia="zh-CN"/>
        </w:rPr>
        <w:t>付款</w:t>
      </w:r>
      <w:r>
        <w:rPr>
          <w:rFonts w:hint="eastAsia" w:ascii="楷体_GB2312" w:hAnsi="楷体_GB2312" w:eastAsia="楷体_GB2312" w:cs="楷体_GB2312"/>
          <w:b/>
          <w:bCs/>
          <w:sz w:val="32"/>
          <w:szCs w:val="32"/>
          <w:highlight w:val="none"/>
        </w:rPr>
        <w:t>限额限期</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 xml:space="preserve"> </w:t>
      </w:r>
      <w:r>
        <w:rPr>
          <w:rFonts w:hint="eastAsia" w:ascii="仿宋_GB2312" w:hAnsi="仿宋_GB2312" w:eastAsia="仿宋_GB2312" w:cs="仿宋_GB2312"/>
          <w:sz w:val="32"/>
          <w:szCs w:val="32"/>
          <w:highlight w:val="none"/>
          <w:lang w:val="en-US" w:eastAsia="zh-CN"/>
        </w:rPr>
        <w:t>经营者应当依照法律、法规以及本规定的</w:t>
      </w:r>
      <w:r>
        <w:rPr>
          <w:rFonts w:hint="eastAsia" w:ascii="仿宋_GB2312" w:hAnsi="仿宋_GB2312" w:eastAsia="仿宋_GB2312" w:cs="仿宋_GB2312"/>
          <w:sz w:val="32"/>
          <w:szCs w:val="32"/>
          <w:highlight w:val="none"/>
          <w:u w:val="none"/>
          <w:lang w:val="en-US" w:eastAsia="zh-CN"/>
        </w:rPr>
        <w:t>预付款金额、服务期限、服务次数、折扣率等要求</w:t>
      </w:r>
      <w:r>
        <w:rPr>
          <w:rFonts w:hint="eastAsia" w:ascii="仿宋_GB2312" w:hAnsi="仿宋_GB2312" w:eastAsia="仿宋_GB2312" w:cs="仿宋_GB2312"/>
          <w:sz w:val="32"/>
          <w:szCs w:val="32"/>
          <w:highlight w:val="none"/>
          <w:lang w:val="en-US" w:eastAsia="zh-CN"/>
        </w:rPr>
        <w:t>收取预付款。</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下列行业的经营者向同一消费者收取的预付款，应当遵守以下规定：</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校外培训行业经营者，金额不得超过五千元，服务期限不得超过三个月或课时数不得超过六十课时，收取的各类培训预付款</w:t>
      </w:r>
      <w:r>
        <w:rPr>
          <w:rFonts w:hint="eastAsia" w:ascii="仿宋_GB2312" w:hAnsi="仿宋_GB2312" w:eastAsia="仿宋_GB2312" w:cs="仿宋_GB2312"/>
          <w:sz w:val="32"/>
          <w:szCs w:val="32"/>
          <w:highlight w:val="none"/>
          <w:lang w:eastAsia="zh-CN"/>
        </w:rPr>
        <w:t>余额</w:t>
      </w:r>
      <w:r>
        <w:rPr>
          <w:rFonts w:hint="eastAsia" w:ascii="仿宋_GB2312" w:hAnsi="仿宋_GB2312" w:eastAsia="仿宋_GB2312" w:cs="仿宋_GB2312"/>
          <w:sz w:val="32"/>
          <w:szCs w:val="32"/>
          <w:highlight w:val="none"/>
          <w:lang w:val="en-US" w:eastAsia="zh-CN"/>
        </w:rPr>
        <w:t>总计不得超过两万元；</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体育健身行业经营者，会籍</w:t>
      </w:r>
      <w:r>
        <w:rPr>
          <w:rFonts w:hint="default"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金额不得超过五千元、服务期限不得超过十二个月；课时类金额不得超过两万元、次数不得超过六十次；储值类金额不得超过五千元，收取的各类预付款余额总计不得超过两万元；</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美容美发、按摩保健行业经营者，收取的预付款余额总计不得超过五千元，服务期限不得超过十二个月；</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职业技能培训行业经营者，金额不得超过八千元，服务期限不得超过六个月或课时数不得超过一百二十课时，收取的各类培训预付款余额总计不得超过两万元；</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汽车清洗行业经营者，收取的预付款余额总计不得超过两千元，服务期限不得超过十二个月；</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托育行业经营者，时间跨度不得超过三个月，且不得早于新的托育服务周期开始前一个月收取费用。收费时段与托育服务时间安排应一致，对于使用租赁场地进行服务的，一次性缴费时间跨度不超过场地剩余的租赁期限；</w:t>
      </w:r>
    </w:p>
    <w:p>
      <w:pPr>
        <w:keepNext w:val="0"/>
        <w:keepLines w:val="0"/>
        <w:pageBreakBefore w:val="0"/>
        <w:numPr>
          <w:ilvl w:val="0"/>
          <w:numId w:val="3"/>
        </w:numPr>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新能源汽车充电行业经营者，收取的预付款</w:t>
      </w:r>
      <w:r>
        <w:rPr>
          <w:rFonts w:hint="eastAsia" w:ascii="仿宋_GB2312" w:hAnsi="仿宋_GB2312" w:eastAsia="仿宋_GB2312" w:cs="仿宋_GB2312"/>
          <w:sz w:val="32"/>
          <w:szCs w:val="32"/>
          <w:highlight w:val="none"/>
          <w:lang w:eastAsia="zh-CN"/>
        </w:rPr>
        <w:t>余额</w:t>
      </w:r>
      <w:r>
        <w:rPr>
          <w:rFonts w:hint="eastAsia" w:ascii="仿宋_GB2312" w:hAnsi="仿宋_GB2312" w:eastAsia="仿宋_GB2312" w:cs="仿宋_GB2312"/>
          <w:sz w:val="32"/>
          <w:szCs w:val="32"/>
          <w:highlight w:val="none"/>
          <w:lang w:val="en-US" w:eastAsia="zh-CN"/>
        </w:rPr>
        <w:t>总计不得超过一千元，服务期限不得超过十二个月。</w:t>
      </w:r>
    </w:p>
    <w:p>
      <w:pPr>
        <w:keepNext w:val="0"/>
        <w:keepLines w:val="0"/>
        <w:pageBreakBefore w:val="0"/>
        <w:kinsoku/>
        <w:wordWrap/>
        <w:topLinePunct w:val="0"/>
        <w:autoSpaceDE/>
        <w:autoSpaceDN/>
        <w:bidi w:val="0"/>
        <w:adjustRightInd/>
        <w:snapToGrid/>
        <w:spacing w:after="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（八）其他经营者向同一消费者收取的预付款，金额不得超过一万元，服务期限不得超过十二个月，国家另有规定的除外。</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服务期限届满且仍有余额的，经营者应当退还合理的预付款余额或征得消费者同意后提供续约服务。经营者与消费者续约后，收取同一消费者的预付款不得超过前款规定。</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eastAsia="zh-CN"/>
        </w:rPr>
        <w:t>十</w:t>
      </w: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格式条款</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 xml:space="preserve"> </w:t>
      </w:r>
      <w:r>
        <w:rPr>
          <w:rFonts w:hint="eastAsia" w:ascii="仿宋_GB2312" w:hAnsi="仿宋_GB2312" w:eastAsia="仿宋_GB2312" w:cs="仿宋_GB2312"/>
          <w:b w:val="0"/>
          <w:bCs w:val="0"/>
          <w:sz w:val="32"/>
          <w:szCs w:val="32"/>
          <w:highlight w:val="none"/>
        </w:rPr>
        <w:t>经营者制定的格式条款、通知、声明、店堂告示、消费者须知等不得包含</w:t>
      </w:r>
      <w:r>
        <w:rPr>
          <w:rFonts w:hint="eastAsia" w:ascii="仿宋_GB2312" w:hAnsi="仿宋_GB2312" w:eastAsia="仿宋_GB2312" w:cs="仿宋_GB2312"/>
          <w:b w:val="0"/>
          <w:bCs w:val="0"/>
          <w:sz w:val="32"/>
          <w:szCs w:val="32"/>
          <w:highlight w:val="none"/>
          <w:lang w:eastAsia="zh-CN"/>
        </w:rPr>
        <w:t>以下内容：</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（一）排除消费者依法解除合同或请求返还预付款的权利；</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（二）不合理地限制消费者转让预付式消费合同债权；</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（三）约定消费者遗失记名预付消费凭证</w:t>
      </w:r>
      <w:r>
        <w:rPr>
          <w:rFonts w:hint="eastAsia" w:ascii="仿宋_GB2312" w:hAnsi="仿宋_GB2312" w:eastAsia="仿宋_GB2312" w:cs="仿宋_GB2312"/>
          <w:b w:val="0"/>
          <w:bCs w:val="0"/>
          <w:sz w:val="32"/>
          <w:szCs w:val="32"/>
          <w:highlight w:val="none"/>
          <w:lang w:val="en-US" w:eastAsia="zh-CN"/>
        </w:rPr>
        <w:t>后</w:t>
      </w:r>
      <w:r>
        <w:rPr>
          <w:rFonts w:hint="eastAsia" w:ascii="仿宋_GB2312" w:hAnsi="仿宋_GB2312" w:eastAsia="仿宋_GB2312" w:cs="仿宋_GB2312"/>
          <w:b w:val="0"/>
          <w:bCs w:val="0"/>
          <w:sz w:val="32"/>
          <w:szCs w:val="32"/>
          <w:highlight w:val="none"/>
        </w:rPr>
        <w:t>不予补办；</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（四）约定经营者有权单方变更兑付商品或者提供服务的价款、种类、质量、数量等合同实质性内容；</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（五）免除经营者对所兑付商品或者提供服务的瑕疵担保责任或者造成消费者</w:t>
      </w:r>
      <w:r>
        <w:rPr>
          <w:rFonts w:hint="eastAsia" w:ascii="仿宋_GB2312" w:hAnsi="仿宋_GB2312" w:eastAsia="仿宋_GB2312" w:cs="仿宋_GB2312"/>
          <w:b w:val="0"/>
          <w:bCs w:val="0"/>
          <w:sz w:val="32"/>
          <w:szCs w:val="32"/>
          <w:highlight w:val="none"/>
          <w:lang w:eastAsia="zh-CN"/>
        </w:rPr>
        <w:t>人身损害、财产</w:t>
      </w:r>
      <w:r>
        <w:rPr>
          <w:rFonts w:hint="eastAsia" w:ascii="仿宋_GB2312" w:hAnsi="仿宋_GB2312" w:eastAsia="仿宋_GB2312" w:cs="仿宋_GB2312"/>
          <w:b w:val="0"/>
          <w:bCs w:val="0"/>
          <w:sz w:val="32"/>
          <w:szCs w:val="32"/>
          <w:highlight w:val="none"/>
        </w:rPr>
        <w:t>损失的赔偿责任；</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（六）约定的解决争议方法不合理增加消费者维权成本；</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（七）存在其他排除或者限制消费者权利、减轻或者免除经营者责任、加重消费者责任等对消费者不公平、不合理情形。</w:t>
      </w:r>
      <w:bookmarkStart w:id="0" w:name="_Z2T15K2"/>
      <w:bookmarkEnd w:id="0"/>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第十</w:t>
      </w:r>
      <w:r>
        <w:rPr>
          <w:rFonts w:hint="eastAsia" w:ascii="楷体_GB2312" w:hAnsi="楷体_GB2312" w:eastAsia="楷体_GB2312" w:cs="楷体_GB2312"/>
          <w:b/>
          <w:bCs/>
          <w:sz w:val="32"/>
          <w:szCs w:val="32"/>
          <w:highlight w:val="none"/>
          <w:lang w:val="en-US" w:eastAsia="zh-CN"/>
        </w:rPr>
        <w:t>五</w:t>
      </w:r>
      <w:r>
        <w:rPr>
          <w:rFonts w:hint="eastAsia" w:ascii="楷体_GB2312" w:hAnsi="楷体_GB2312" w:eastAsia="楷体_GB2312" w:cs="楷体_GB2312"/>
          <w:b/>
          <w:bCs/>
          <w:sz w:val="32"/>
          <w:szCs w:val="32"/>
          <w:highlight w:val="none"/>
          <w:lang w:eastAsia="zh-CN"/>
        </w:rPr>
        <w:t>条（消费者风险识别）</w:t>
      </w:r>
      <w:r>
        <w:rPr>
          <w:rFonts w:hint="eastAsia" w:ascii="仿宋_GB2312" w:hAnsi="仿宋_GB2312" w:eastAsia="仿宋_GB2312" w:cs="仿宋_GB2312"/>
          <w:b w:val="0"/>
          <w:bCs w:val="0"/>
          <w:sz w:val="32"/>
          <w:szCs w:val="32"/>
          <w:highlight w:val="none"/>
          <w:lang w:eastAsia="zh-CN"/>
        </w:rPr>
        <w:t xml:space="preserve"> 消费者可以通过公共信息查询平台等方式查询经营者的备案、信用、预收资金用途和管理方式等信息，充分了解自身权利和潜在风险，根据实际消费需求和第十三条的规定，合理选择预付款金额和服务期限，避免盲目、冲动或超额预付。</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仿宋_GB2312" w:eastAsia="仿宋_GB2312"/>
          <w:sz w:val="32"/>
          <w:szCs w:val="32"/>
          <w:highlight w:val="none"/>
          <w:lang w:eastAsia="zh-CN"/>
        </w:rPr>
      </w:pPr>
      <w:r>
        <w:rPr>
          <w:rFonts w:hint="eastAsia" w:ascii="楷体_GB2312" w:hAnsi="楷体_GB2312" w:eastAsia="楷体_GB2312" w:cs="楷体_GB2312"/>
          <w:b/>
          <w:bCs/>
          <w:sz w:val="32"/>
          <w:szCs w:val="32"/>
          <w:highlight w:val="none"/>
          <w:lang w:val="en-US" w:eastAsia="zh-CN"/>
        </w:rPr>
        <w:t>第十六条</w:t>
      </w:r>
      <w:r>
        <w:rPr>
          <w:rFonts w:hint="eastAsia" w:ascii="楷体_GB2312" w:hAnsi="楷体_GB2312" w:eastAsia="楷体_GB2312" w:cs="楷体_GB2312"/>
          <w:b/>
          <w:bCs/>
          <w:sz w:val="32"/>
          <w:szCs w:val="32"/>
          <w:highlight w:val="none"/>
          <w:lang w:eastAsia="zh-CN"/>
        </w:rPr>
        <w:t>（冷静期制度）</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消费者自支付预付款之日起七日内，未在经营者处兑付商品或者服务且未获得过相同商品或者服务的，有权要求经营者退款，经营者应当自消费者要求退款之日起十日内一次性全额退回预付款；消费者因支付预付款后获得的赠品或者赠送的服务，应当退回或者支付合理价款。</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第十七条（消费者风险应对措施） </w:t>
      </w:r>
      <w:r>
        <w:rPr>
          <w:rFonts w:hint="eastAsia" w:ascii="仿宋_GB2312" w:hAnsi="仿宋_GB2312" w:eastAsia="仿宋_GB2312" w:cs="仿宋_GB2312"/>
          <w:sz w:val="32"/>
          <w:szCs w:val="32"/>
          <w:highlight w:val="none"/>
          <w:lang w:val="en-US" w:eastAsia="zh-CN"/>
        </w:rPr>
        <w:t>消费者发现经营者存在经营异常或者无法按照约定提供商品或者服务的，可以及时通过公共信息查询平台协助监管上报。消费者可以依法通过协商、调解、仲裁、诉讼等途径维护自身合法权益。</w:t>
      </w:r>
    </w:p>
    <w:p>
      <w:pPr>
        <w:keepNext w:val="0"/>
        <w:keepLines w:val="0"/>
        <w:pageBreakBefore w:val="0"/>
        <w:tabs>
          <w:tab w:val="left" w:pos="3333"/>
        </w:tabs>
        <w:kinsoku/>
        <w:wordWrap/>
        <w:topLinePunct w:val="0"/>
        <w:autoSpaceDE/>
        <w:autoSpaceDN/>
        <w:bidi w:val="0"/>
        <w:adjustRightInd/>
        <w:snapToGrid/>
        <w:spacing w:after="0" w:line="579" w:lineRule="exact"/>
        <w:ind w:firstLine="643" w:firstLineChars="200"/>
        <w:rPr>
          <w:rFonts w:hint="eastAsia" w:ascii="仿宋_GB2312" w:hAnsi="Calibri" w:eastAsia="仿宋_GB2312" w:cs="Times New Roman"/>
          <w:b w:val="0"/>
          <w:bCs w:val="0"/>
          <w:sz w:val="32"/>
          <w:szCs w:val="32"/>
          <w:highlight w:val="none"/>
          <w:lang w:val="en-US"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十八</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（消费者权益保护）</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Calibri" w:eastAsia="仿宋_GB2312" w:cs="Times New Roman"/>
          <w:b w:val="0"/>
          <w:bCs w:val="0"/>
          <w:sz w:val="32"/>
          <w:szCs w:val="32"/>
          <w:highlight w:val="none"/>
          <w:lang w:val="en-US" w:eastAsia="zh-CN"/>
        </w:rPr>
        <w:t>符合下列情形之一，消费者要求退款的，经营者应当</w:t>
      </w:r>
      <w:r>
        <w:rPr>
          <w:rFonts w:hint="eastAsia" w:ascii="仿宋_GB2312" w:eastAsia="仿宋_GB2312" w:cs="Times New Roman"/>
          <w:b w:val="0"/>
          <w:bCs w:val="0"/>
          <w:sz w:val="32"/>
          <w:szCs w:val="32"/>
          <w:highlight w:val="none"/>
          <w:lang w:val="en-US" w:eastAsia="zh-CN"/>
        </w:rPr>
        <w:t>按照约定期限</w:t>
      </w:r>
      <w:r>
        <w:rPr>
          <w:rFonts w:hint="eastAsia" w:ascii="仿宋_GB2312" w:hAnsi="Calibri" w:eastAsia="仿宋_GB2312" w:cs="Times New Roman"/>
          <w:b w:val="0"/>
          <w:bCs w:val="0"/>
          <w:sz w:val="32"/>
          <w:szCs w:val="32"/>
          <w:highlight w:val="none"/>
          <w:lang w:val="en-US" w:eastAsia="zh-CN"/>
        </w:rPr>
        <w:t>一次性退回预</w:t>
      </w:r>
      <w:r>
        <w:rPr>
          <w:rFonts w:hint="eastAsia" w:ascii="仿宋_GB2312" w:eastAsia="仿宋_GB2312" w:cs="Times New Roman"/>
          <w:b w:val="0"/>
          <w:bCs w:val="0"/>
          <w:sz w:val="32"/>
          <w:szCs w:val="32"/>
          <w:highlight w:val="none"/>
          <w:lang w:val="en-US" w:eastAsia="zh-CN"/>
        </w:rPr>
        <w:t>付</w:t>
      </w:r>
      <w:r>
        <w:rPr>
          <w:rFonts w:hint="eastAsia" w:ascii="仿宋_GB2312" w:hAnsi="Calibri" w:eastAsia="仿宋_GB2312" w:cs="Times New Roman"/>
          <w:b w:val="0"/>
          <w:bCs w:val="0"/>
          <w:sz w:val="32"/>
          <w:szCs w:val="32"/>
          <w:highlight w:val="none"/>
          <w:lang w:val="en-US" w:eastAsia="zh-CN"/>
        </w:rPr>
        <w:t>款余额</w:t>
      </w:r>
      <w:r>
        <w:rPr>
          <w:rFonts w:hint="eastAsia" w:ascii="仿宋_GB2312" w:eastAsia="仿宋_GB2312" w:cs="Times New Roman"/>
          <w:b w:val="0"/>
          <w:bCs w:val="0"/>
          <w:sz w:val="32"/>
          <w:szCs w:val="32"/>
          <w:highlight w:val="none"/>
          <w:lang w:val="en-US" w:eastAsia="zh-CN"/>
        </w:rPr>
        <w:t>；期限</w:t>
      </w:r>
      <w:r>
        <w:rPr>
          <w:rFonts w:hint="eastAsia" w:ascii="仿宋_GB2312" w:hAnsi="Calibri" w:eastAsia="仿宋_GB2312" w:cs="Times New Roman"/>
          <w:b w:val="0"/>
          <w:bCs w:val="0"/>
          <w:sz w:val="32"/>
          <w:szCs w:val="32"/>
          <w:highlight w:val="none"/>
          <w:lang w:val="en-US" w:eastAsia="zh-CN"/>
        </w:rPr>
        <w:t>没有约定或者约定不明确的，应当自消费者提出退款要求之日起十日内退回：</w:t>
      </w:r>
    </w:p>
    <w:p>
      <w:pPr>
        <w:keepNext w:val="0"/>
        <w:keepLines w:val="0"/>
        <w:pageBreakBefore w:val="0"/>
        <w:tabs>
          <w:tab w:val="left" w:pos="3333"/>
        </w:tabs>
        <w:kinsoku/>
        <w:wordWrap/>
        <w:topLinePunct w:val="0"/>
        <w:autoSpaceDE/>
        <w:autoSpaceDN/>
        <w:bidi w:val="0"/>
        <w:adjustRightInd/>
        <w:snapToGrid/>
        <w:spacing w:after="0" w:line="579" w:lineRule="exact"/>
        <w:ind w:firstLine="640" w:firstLineChars="200"/>
        <w:rPr>
          <w:rFonts w:hint="eastAsia" w:ascii="仿宋_GB2312" w:hAnsi="Calibri" w:eastAsia="仿宋_GB2312" w:cs="Times New Roman"/>
          <w:b w:val="0"/>
          <w:bCs w:val="0"/>
          <w:sz w:val="32"/>
          <w:szCs w:val="32"/>
          <w:highlight w:val="none"/>
          <w:lang w:val="en-US" w:eastAsia="zh-CN"/>
        </w:rPr>
      </w:pPr>
      <w:r>
        <w:rPr>
          <w:rFonts w:hint="eastAsia" w:ascii="仿宋_GB2312" w:hAnsi="Calibri" w:eastAsia="仿宋_GB2312" w:cs="Times New Roman"/>
          <w:b w:val="0"/>
          <w:bCs w:val="0"/>
          <w:sz w:val="32"/>
          <w:szCs w:val="32"/>
          <w:highlight w:val="none"/>
          <w:lang w:val="en-US" w:eastAsia="zh-CN"/>
        </w:rPr>
        <w:t>（一）经营者未按照约定提供商品或者服务的</w:t>
      </w:r>
      <w:r>
        <w:rPr>
          <w:rFonts w:hint="eastAsia" w:ascii="仿宋_GB2312" w:eastAsia="仿宋_GB2312" w:cs="Times New Roman"/>
          <w:b w:val="0"/>
          <w:bCs w:val="0"/>
          <w:sz w:val="32"/>
          <w:szCs w:val="32"/>
          <w:highlight w:val="none"/>
          <w:lang w:val="en-US" w:eastAsia="zh-CN"/>
        </w:rPr>
        <w:t>；</w:t>
      </w:r>
    </w:p>
    <w:p>
      <w:pPr>
        <w:keepNext w:val="0"/>
        <w:keepLines w:val="0"/>
        <w:pageBreakBefore w:val="0"/>
        <w:tabs>
          <w:tab w:val="left" w:pos="3333"/>
        </w:tabs>
        <w:kinsoku/>
        <w:wordWrap/>
        <w:topLinePunct w:val="0"/>
        <w:autoSpaceDE/>
        <w:autoSpaceDN/>
        <w:bidi w:val="0"/>
        <w:adjustRightInd/>
        <w:snapToGrid/>
        <w:spacing w:after="0" w:line="579" w:lineRule="exact"/>
        <w:ind w:firstLine="640" w:firstLineChars="200"/>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（二）</w:t>
      </w:r>
      <w:r>
        <w:rPr>
          <w:rFonts w:hint="eastAsia" w:ascii="仿宋_GB2312" w:hAnsi="Calibri" w:eastAsia="仿宋_GB2312" w:cs="Times New Roman"/>
          <w:b w:val="0"/>
          <w:bCs w:val="0"/>
          <w:sz w:val="32"/>
          <w:szCs w:val="32"/>
          <w:highlight w:val="none"/>
          <w:lang w:val="en-US" w:eastAsia="zh-CN"/>
        </w:rPr>
        <w:t>未经消费者同意将预付式消费合同义务转移给第三人</w:t>
      </w:r>
      <w:r>
        <w:rPr>
          <w:rFonts w:hint="eastAsia" w:ascii="仿宋_GB2312" w:eastAsia="仿宋_GB2312" w:cs="Times New Roman"/>
          <w:b w:val="0"/>
          <w:bCs w:val="0"/>
          <w:sz w:val="32"/>
          <w:szCs w:val="32"/>
          <w:highlight w:val="none"/>
          <w:lang w:val="en-US" w:eastAsia="zh-CN"/>
        </w:rPr>
        <w:t>的。</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十九</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信用监管</w:t>
      </w:r>
      <w:r>
        <w:rPr>
          <w:rFonts w:hint="eastAsia" w:ascii="楷体_GB2312" w:hAnsi="楷体_GB2312" w:eastAsia="楷体_GB2312" w:cs="楷体_GB2312"/>
          <w:b/>
          <w:bCs/>
          <w:sz w:val="32"/>
          <w:szCs w:val="32"/>
          <w:highlight w:val="none"/>
          <w:lang w:eastAsia="zh-CN"/>
        </w:rPr>
        <w:t>）</w:t>
      </w:r>
      <w:r>
        <w:rPr>
          <w:rFonts w:hint="eastAsia" w:ascii="仿宋_GB2312" w:hAnsi="仿宋_GB2312" w:eastAsia="仿宋_GB2312" w:cs="仿宋_GB2312"/>
          <w:sz w:val="32"/>
          <w:szCs w:val="32"/>
          <w:highlight w:val="none"/>
        </w:rPr>
        <w:t xml:space="preserve"> 相关部门应当按照国家和本市有关规定，将经营者预付式经营信用信息向</w:t>
      </w:r>
      <w:r>
        <w:rPr>
          <w:rFonts w:hint="default" w:ascii="仿宋_GB2312" w:hAnsi="仿宋_GB2312" w:eastAsia="仿宋_GB2312" w:cs="仿宋_GB2312"/>
          <w:sz w:val="32"/>
          <w:szCs w:val="32"/>
          <w:highlight w:val="none"/>
          <w:lang w:val="en"/>
        </w:rPr>
        <w:t>信息查询系统</w:t>
      </w:r>
      <w:r>
        <w:rPr>
          <w:rFonts w:hint="eastAsia" w:ascii="仿宋_GB2312" w:hAnsi="仿宋_GB2312" w:eastAsia="仿宋_GB2312" w:cs="仿宋_GB2312"/>
          <w:sz w:val="32"/>
          <w:szCs w:val="32"/>
          <w:highlight w:val="none"/>
        </w:rPr>
        <w:t>归集，建立健全经营者信用评价体系，根据信用评价结果实施分级分类监督管理，依法实施守信激励和失信惩戒。</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仿宋_GB2312" w:eastAsia="仿宋_GB2312" w:cs="Times New Roman"/>
          <w:b w:val="0"/>
          <w:bCs w:val="0"/>
          <w:sz w:val="32"/>
          <w:szCs w:val="32"/>
          <w:highlight w:val="none"/>
          <w:lang w:val="en-US" w:eastAsia="zh-CN"/>
        </w:rPr>
      </w:pPr>
      <w:r>
        <w:rPr>
          <w:rFonts w:hint="eastAsia" w:ascii="仿宋_GB2312" w:hAnsi="仿宋_GB2312" w:eastAsia="仿宋_GB2312" w:cs="仿宋_GB2312"/>
          <w:sz w:val="32"/>
          <w:szCs w:val="32"/>
          <w:highlight w:val="none"/>
        </w:rPr>
        <w:t>经营者依法纠正失信行为、消除不良影响的，可以提出信用修复申请。符合信用修复条件的，相关部门应当按照规定予以信用修复。</w:t>
      </w:r>
    </w:p>
    <w:p>
      <w:pPr>
        <w:keepNext w:val="0"/>
        <w:keepLines w:val="0"/>
        <w:pageBreakBefore w:val="0"/>
        <w:widowControl/>
        <w:suppressLineNumbers w:val="0"/>
        <w:kinsoku/>
        <w:wordWrap/>
        <w:topLinePunct w:val="0"/>
        <w:autoSpaceDE/>
        <w:autoSpaceDN/>
        <w:bidi w:val="0"/>
        <w:adjustRightInd/>
        <w:snapToGrid/>
        <w:spacing w:after="0" w:line="579" w:lineRule="exact"/>
        <w:ind w:firstLine="643" w:firstLineChars="200"/>
        <w:jc w:val="left"/>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eastAsia="zh-CN"/>
        </w:rPr>
        <w:t>第</w:t>
      </w:r>
      <w:r>
        <w:rPr>
          <w:rFonts w:hint="eastAsia" w:ascii="楷体_GB2312" w:hAnsi="楷体_GB2312" w:eastAsia="楷体_GB2312" w:cs="楷体_GB2312"/>
          <w:b/>
          <w:bCs/>
          <w:sz w:val="32"/>
          <w:szCs w:val="32"/>
          <w:highlight w:val="none"/>
          <w:lang w:val="en-US" w:eastAsia="zh-CN"/>
        </w:rPr>
        <w:t>二十</w:t>
      </w:r>
      <w:r>
        <w:rPr>
          <w:rFonts w:hint="eastAsia" w:ascii="楷体_GB2312" w:hAnsi="楷体_GB2312" w:eastAsia="楷体_GB2312" w:cs="楷体_GB2312"/>
          <w:b/>
          <w:bCs/>
          <w:sz w:val="32"/>
          <w:szCs w:val="32"/>
          <w:highlight w:val="none"/>
          <w:lang w:eastAsia="zh-CN"/>
        </w:rPr>
        <w:t>条（风险处置责任）</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经营者注册地与实际经营地不一致的，由实际经营地的区人民政府承担风险防范与处置主体责任，</w:t>
      </w:r>
      <w:r>
        <w:rPr>
          <w:rFonts w:hint="eastAsia" w:ascii="仿宋_GB2312" w:hAnsi="仿宋_GB2312" w:eastAsia="仿宋_GB2312" w:cs="仿宋_GB2312"/>
          <w:sz w:val="32"/>
          <w:szCs w:val="32"/>
          <w:highlight w:val="none"/>
          <w:lang w:eastAsia="zh-CN"/>
        </w:rPr>
        <w:t>会同相关</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lang w:val="en-US" w:eastAsia="zh-CN"/>
        </w:rPr>
        <w:t>处理,</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注册地的区人民政府应当予以配合。</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lang w:val="zh-CN"/>
        </w:rPr>
      </w:pPr>
      <w:r>
        <w:rPr>
          <w:rFonts w:hint="eastAsia" w:ascii="楷体_GB2312" w:hAnsi="楷体_GB2312" w:eastAsia="楷体_GB2312" w:cs="楷体_GB2312"/>
          <w:b/>
          <w:bCs/>
          <w:sz w:val="32"/>
          <w:szCs w:val="32"/>
          <w:highlight w:val="none"/>
          <w:lang w:eastAsia="zh-CN"/>
        </w:rPr>
        <w:t>第</w:t>
      </w:r>
      <w:r>
        <w:rPr>
          <w:rFonts w:hint="eastAsia" w:ascii="楷体_GB2312" w:hAnsi="楷体_GB2312" w:eastAsia="楷体_GB2312" w:cs="楷体_GB2312"/>
          <w:b/>
          <w:bCs/>
          <w:sz w:val="32"/>
          <w:szCs w:val="32"/>
          <w:highlight w:val="none"/>
          <w:lang w:val="en-US" w:eastAsia="zh-CN"/>
        </w:rPr>
        <w:t>二十一</w:t>
      </w:r>
      <w:r>
        <w:rPr>
          <w:rFonts w:hint="eastAsia" w:ascii="楷体_GB2312" w:hAnsi="楷体_GB2312" w:eastAsia="楷体_GB2312" w:cs="楷体_GB2312"/>
          <w:b/>
          <w:bCs/>
          <w:sz w:val="32"/>
          <w:szCs w:val="32"/>
          <w:highlight w:val="none"/>
          <w:lang w:eastAsia="zh-CN"/>
        </w:rPr>
        <w:t>条（</w:t>
      </w:r>
      <w:r>
        <w:rPr>
          <w:rFonts w:hint="eastAsia" w:ascii="楷体_GB2312" w:hAnsi="楷体_GB2312" w:eastAsia="楷体_GB2312" w:cs="楷体_GB2312"/>
          <w:b/>
          <w:bCs/>
          <w:sz w:val="32"/>
          <w:szCs w:val="32"/>
          <w:highlight w:val="none"/>
        </w:rPr>
        <w:t>监督检查职权</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 xml:space="preserve"> </w:t>
      </w:r>
      <w:r>
        <w:rPr>
          <w:rFonts w:hint="eastAsia" w:ascii="仿宋_GB2312" w:hAnsi="仿宋_GB2312" w:eastAsia="仿宋_GB2312" w:cs="仿宋_GB2312"/>
          <w:sz w:val="32"/>
          <w:szCs w:val="32"/>
          <w:highlight w:val="none"/>
          <w:lang w:val="zh-CN" w:eastAsia="zh-CN"/>
        </w:rPr>
        <w:t>行业主管部门应当按照本规定履行监督管理职责</w:t>
      </w:r>
      <w:r>
        <w:rPr>
          <w:rFonts w:hint="eastAsia" w:ascii="仿宋_GB2312" w:hAnsi="仿宋_GB2312" w:eastAsia="仿宋_GB2312" w:cs="仿宋_GB2312"/>
          <w:sz w:val="32"/>
          <w:szCs w:val="32"/>
          <w:highlight w:val="none"/>
          <w:lang w:val="zh-CN"/>
        </w:rPr>
        <w:t>，并有权采取下列措施：</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（一）进入经营者的经营场所实施现场检查；</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（二）要求经营者就有关检查事项作出说明；</w:t>
      </w:r>
    </w:p>
    <w:p>
      <w:pPr>
        <w:keepNext w:val="0"/>
        <w:keepLines w:val="0"/>
        <w:pageBreakBefore w:val="0"/>
        <w:kinsoku/>
        <w:wordWrap/>
        <w:topLinePunct w:val="0"/>
        <w:autoSpaceDE/>
        <w:autoSpaceDN/>
        <w:bidi w:val="0"/>
        <w:adjustRightInd/>
        <w:snapToGrid/>
        <w:spacing w:after="0" w:line="579"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（三）</w:t>
      </w:r>
      <w:r>
        <w:rPr>
          <w:rFonts w:hint="eastAsia" w:ascii="仿宋_GB2312" w:hAnsi="仿宋_GB2312" w:eastAsia="仿宋_GB2312" w:cs="仿宋_GB2312"/>
          <w:sz w:val="32"/>
          <w:szCs w:val="32"/>
          <w:highlight w:val="none"/>
          <w:lang w:val="zh-CN" w:eastAsia="zh-CN"/>
        </w:rPr>
        <w:t>调查、询问涉嫌违反本规定的违法行为情况；</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（四）查阅、复制与检查事项有关的</w:t>
      </w:r>
      <w:r>
        <w:rPr>
          <w:rFonts w:hint="eastAsia" w:ascii="仿宋_GB2312" w:hAnsi="仿宋_GB2312" w:eastAsia="仿宋_GB2312" w:cs="仿宋_GB2312"/>
          <w:sz w:val="32"/>
          <w:szCs w:val="32"/>
          <w:highlight w:val="none"/>
          <w:lang w:val="zh-CN" w:eastAsia="zh-CN"/>
        </w:rPr>
        <w:t>合同、发票、账簿以及其他</w:t>
      </w:r>
      <w:r>
        <w:rPr>
          <w:rFonts w:hint="eastAsia" w:ascii="仿宋_GB2312" w:hAnsi="仿宋_GB2312" w:eastAsia="仿宋_GB2312" w:cs="仿宋_GB2312"/>
          <w:sz w:val="32"/>
          <w:szCs w:val="32"/>
          <w:highlight w:val="none"/>
          <w:lang w:val="en-US" w:eastAsia="zh-CN"/>
        </w:rPr>
        <w:t>相</w:t>
      </w:r>
      <w:r>
        <w:rPr>
          <w:rFonts w:hint="eastAsia" w:ascii="仿宋_GB2312" w:hAnsi="仿宋_GB2312" w:eastAsia="仿宋_GB2312" w:cs="仿宋_GB2312"/>
          <w:sz w:val="32"/>
          <w:szCs w:val="32"/>
          <w:highlight w:val="none"/>
          <w:lang w:val="zh-CN" w:eastAsia="zh-CN"/>
        </w:rPr>
        <w:t>关资料</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（五）对涉案物品、场所等采取查封、扣押等行政强制措施；</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（六）</w:t>
      </w:r>
      <w:r>
        <w:rPr>
          <w:rFonts w:hint="eastAsia" w:ascii="仿宋_GB2312" w:hAnsi="仿宋_GB2312" w:eastAsia="仿宋_GB2312" w:cs="仿宋_GB2312"/>
          <w:sz w:val="32"/>
          <w:szCs w:val="32"/>
          <w:highlight w:val="none"/>
          <w:lang w:val="zh-CN" w:eastAsia="zh-CN"/>
        </w:rPr>
        <w:t>法律、法规规定的其他职权。</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经营者应当予以配合，不得拒绝、阻挠。</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第二十二条（执法部门）</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本</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z w:val="32"/>
          <w:szCs w:val="32"/>
          <w:highlight w:val="none"/>
          <w:lang w:val="zh-CN"/>
        </w:rPr>
        <w:t>规定的行政处罚，分别由区级以上</w:t>
      </w:r>
      <w:r>
        <w:rPr>
          <w:rFonts w:hint="eastAsia" w:ascii="仿宋_GB2312" w:hAnsi="仿宋_GB2312" w:eastAsia="仿宋_GB2312" w:cs="仿宋_GB2312"/>
          <w:color w:val="000000"/>
          <w:kern w:val="2"/>
          <w:sz w:val="32"/>
          <w:szCs w:val="32"/>
          <w:highlight w:val="none"/>
          <w:lang w:val="en-US" w:eastAsia="zh-CN" w:bidi="ar-SA"/>
        </w:rPr>
        <w:t>教育、民政、人力资源保障、交通运输、文化广电旅游体育、卫生健康、市场监管等部门及相关综合执法机构</w:t>
      </w:r>
      <w:r>
        <w:rPr>
          <w:rFonts w:hint="eastAsia" w:ascii="仿宋_GB2312" w:hAnsi="仿宋_GB2312" w:eastAsia="仿宋_GB2312" w:cs="仿宋_GB2312"/>
          <w:sz w:val="32"/>
          <w:szCs w:val="32"/>
          <w:highlight w:val="none"/>
          <w:lang w:val="zh-CN"/>
        </w:rPr>
        <w:t>，按照市人民政府确定的执法分工实施。</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eastAsia="zh-CN"/>
        </w:rPr>
        <w:t>二十</w:t>
      </w: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val="en-US" w:eastAsia="zh-CN"/>
        </w:rPr>
        <w:t>（违反禁止收取预付款情形的法律责任）</w:t>
      </w:r>
      <w:r>
        <w:rPr>
          <w:rFonts w:hint="eastAsia" w:ascii="仿宋_GB2312" w:hAnsi="仿宋_GB2312" w:eastAsia="仿宋_GB2312" w:cs="仿宋_GB2312"/>
          <w:b w:val="0"/>
          <w:bCs w:val="0"/>
          <w:sz w:val="32"/>
          <w:szCs w:val="32"/>
          <w:highlight w:val="none"/>
          <w:lang w:val="en-US" w:eastAsia="zh-CN"/>
        </w:rPr>
        <w:t xml:space="preserve"> 经营者违反本规定第八条规定的，</w:t>
      </w:r>
      <w:r>
        <w:rPr>
          <w:rFonts w:hint="eastAsia" w:ascii="仿宋_GB2312" w:hAnsi="仿宋_GB2312" w:eastAsia="仿宋_GB2312" w:cs="仿宋_GB2312"/>
          <w:sz w:val="32"/>
          <w:szCs w:val="32"/>
          <w:highlight w:val="none"/>
          <w:lang w:val="en-US" w:eastAsia="zh-CN"/>
        </w:rPr>
        <w:t>由有关部门</w:t>
      </w:r>
      <w:r>
        <w:rPr>
          <w:rFonts w:hint="eastAsia" w:ascii="仿宋_GB2312" w:hAnsi="仿宋_GB2312" w:eastAsia="仿宋_GB2312" w:cs="仿宋_GB2312"/>
          <w:b w:val="0"/>
          <w:bCs w:val="0"/>
          <w:sz w:val="32"/>
          <w:szCs w:val="32"/>
          <w:highlight w:val="none"/>
          <w:lang w:val="en-US" w:eastAsia="zh-CN"/>
        </w:rPr>
        <w:t>责令立即停止收取预付款，并限期退还已收取的预付款余额，没收违法所得、处以违法所得一倍以上十倍以下罚款；没有违法所得的，处五十万元以下罚款。</w:t>
      </w:r>
    </w:p>
    <w:p>
      <w:pPr>
        <w:keepNext w:val="0"/>
        <w:keepLines w:val="0"/>
        <w:pageBreakBefore w:val="0"/>
        <w:kinsoku/>
        <w:wordWrap/>
        <w:topLinePunct w:val="0"/>
        <w:autoSpaceDE/>
        <w:autoSpaceDN/>
        <w:bidi w:val="0"/>
        <w:adjustRightInd/>
        <w:snapToGrid/>
        <w:spacing w:after="0" w:line="579" w:lineRule="exact"/>
        <w:ind w:firstLine="612"/>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val="zh-CN"/>
        </w:rPr>
        <w:t>（违反信息备案的</w:t>
      </w:r>
      <w:r>
        <w:rPr>
          <w:rFonts w:hint="eastAsia" w:ascii="楷体_GB2312" w:hAnsi="楷体_GB2312" w:eastAsia="楷体_GB2312" w:cs="楷体_GB2312"/>
          <w:b/>
          <w:bCs/>
          <w:sz w:val="32"/>
          <w:szCs w:val="32"/>
          <w:highlight w:val="none"/>
          <w:lang w:eastAsia="zh-CN"/>
        </w:rPr>
        <w:t>法律责任）</w:t>
      </w:r>
      <w:r>
        <w:rPr>
          <w:rFonts w:ascii="楷体_GB2312" w:hAnsi="楷体_GB2312" w:eastAsia="楷体_GB2312" w:cs="楷体_GB2312"/>
          <w:b/>
          <w:bCs/>
          <w:sz w:val="32"/>
          <w:szCs w:val="32"/>
          <w:highlight w:val="none"/>
        </w:rPr>
        <w:t xml:space="preserve"> </w:t>
      </w:r>
      <w:r>
        <w:rPr>
          <w:rFonts w:hint="eastAsia" w:ascii="仿宋_GB2312" w:hAnsi="仿宋_GB2312" w:eastAsia="仿宋_GB2312" w:cs="仿宋_GB2312"/>
          <w:sz w:val="32"/>
          <w:szCs w:val="32"/>
          <w:highlight w:val="none"/>
        </w:rPr>
        <w:t>经营者违反本规定第</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条规定的，</w:t>
      </w:r>
      <w:r>
        <w:rPr>
          <w:rFonts w:hint="eastAsia" w:ascii="仿宋_GB2312" w:hAnsi="仿宋_GB2312" w:eastAsia="仿宋_GB2312" w:cs="仿宋_GB2312"/>
          <w:sz w:val="32"/>
          <w:szCs w:val="32"/>
          <w:highlight w:val="none"/>
          <w:lang w:val="en-US" w:eastAsia="zh-CN"/>
        </w:rPr>
        <w:t>由有关部门</w:t>
      </w:r>
      <w:r>
        <w:rPr>
          <w:rFonts w:hint="eastAsia" w:ascii="仿宋_GB2312" w:hAnsi="仿宋_GB2312" w:eastAsia="仿宋_GB2312" w:cs="仿宋_GB2312"/>
          <w:sz w:val="32"/>
          <w:szCs w:val="32"/>
          <w:highlight w:val="none"/>
        </w:rPr>
        <w:t>责令</w:t>
      </w:r>
      <w:r>
        <w:rPr>
          <w:rFonts w:hint="eastAsia" w:ascii="仿宋_GB2312" w:hAnsi="仿宋_GB2312" w:eastAsia="仿宋_GB2312" w:cs="仿宋_GB2312"/>
          <w:sz w:val="32"/>
          <w:szCs w:val="32"/>
          <w:highlight w:val="none"/>
          <w:lang w:eastAsia="zh-CN"/>
        </w:rPr>
        <w:t>限期改正；逾期</w:t>
      </w:r>
      <w:r>
        <w:rPr>
          <w:rFonts w:hint="eastAsia" w:ascii="仿宋_GB2312" w:hAnsi="仿宋_GB2312" w:eastAsia="仿宋_GB2312" w:cs="仿宋_GB2312"/>
          <w:sz w:val="32"/>
          <w:szCs w:val="32"/>
          <w:highlight w:val="none"/>
          <w:lang w:val="en-US" w:eastAsia="zh-CN"/>
        </w:rPr>
        <w:t>未</w:t>
      </w:r>
      <w:r>
        <w:rPr>
          <w:rFonts w:hint="eastAsia" w:ascii="仿宋_GB2312" w:hAnsi="仿宋_GB2312" w:eastAsia="仿宋_GB2312" w:cs="仿宋_GB2312"/>
          <w:sz w:val="32"/>
          <w:szCs w:val="32"/>
          <w:highlight w:val="none"/>
          <w:lang w:eastAsia="zh-CN"/>
        </w:rPr>
        <w:t>改正的，</w:t>
      </w:r>
      <w:r>
        <w:rPr>
          <w:rFonts w:hint="eastAsia" w:ascii="仿宋_GB2312" w:hAnsi="仿宋_GB2312" w:eastAsia="仿宋_GB2312" w:cs="仿宋_GB2312"/>
          <w:sz w:val="32"/>
          <w:szCs w:val="32"/>
          <w:highlight w:val="none"/>
        </w:rPr>
        <w:t>处两千元罚款。</w:t>
      </w:r>
    </w:p>
    <w:p>
      <w:pPr>
        <w:keepNext w:val="0"/>
        <w:keepLines w:val="0"/>
        <w:pageBreakBefore w:val="0"/>
        <w:kinsoku/>
        <w:wordWrap/>
        <w:topLinePunct w:val="0"/>
        <w:autoSpaceDE/>
        <w:autoSpaceDN/>
        <w:bidi w:val="0"/>
        <w:adjustRightInd/>
        <w:snapToGrid/>
        <w:spacing w:after="0" w:line="579" w:lineRule="exact"/>
        <w:ind w:firstLine="612"/>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第二十五条</w:t>
      </w:r>
      <w:r>
        <w:rPr>
          <w:rFonts w:hint="eastAsia" w:ascii="楷体_GB2312" w:hAnsi="楷体_GB2312" w:eastAsia="楷体_GB2312" w:cs="楷体_GB2312"/>
          <w:b/>
          <w:bCs/>
          <w:sz w:val="32"/>
          <w:szCs w:val="32"/>
          <w:highlight w:val="none"/>
          <w:lang w:eastAsia="zh-CN"/>
        </w:rPr>
        <w:t>（违反信息公示的法律责任）</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经营者违反本规定第十条第一款规定的，</w:t>
      </w:r>
      <w:r>
        <w:rPr>
          <w:rFonts w:hint="eastAsia" w:ascii="仿宋_GB2312" w:hAnsi="仿宋_GB2312" w:eastAsia="仿宋_GB2312" w:cs="仿宋_GB2312"/>
          <w:sz w:val="32"/>
          <w:szCs w:val="32"/>
          <w:highlight w:val="none"/>
          <w:lang w:val="en-US" w:eastAsia="zh-CN"/>
        </w:rPr>
        <w:t>由有关部门</w:t>
      </w:r>
      <w:r>
        <w:rPr>
          <w:rFonts w:hint="eastAsia" w:ascii="仿宋_GB2312" w:hAnsi="仿宋_GB2312" w:eastAsia="仿宋_GB2312" w:cs="仿宋_GB2312"/>
          <w:sz w:val="32"/>
          <w:szCs w:val="32"/>
          <w:highlight w:val="none"/>
        </w:rPr>
        <w:t>责令</w:t>
      </w:r>
      <w:r>
        <w:rPr>
          <w:rFonts w:hint="eastAsia" w:ascii="仿宋_GB2312" w:hAnsi="仿宋_GB2312" w:eastAsia="仿宋_GB2312" w:cs="仿宋_GB2312"/>
          <w:sz w:val="32"/>
          <w:szCs w:val="32"/>
          <w:highlight w:val="none"/>
          <w:lang w:eastAsia="zh-CN"/>
        </w:rPr>
        <w:t>限期改正；逾期</w:t>
      </w:r>
      <w:r>
        <w:rPr>
          <w:rFonts w:hint="eastAsia" w:ascii="仿宋_GB2312" w:hAnsi="仿宋_GB2312" w:eastAsia="仿宋_GB2312" w:cs="仿宋_GB2312"/>
          <w:sz w:val="32"/>
          <w:szCs w:val="32"/>
          <w:highlight w:val="none"/>
          <w:lang w:val="en-US" w:eastAsia="zh-CN"/>
        </w:rPr>
        <w:t>未</w:t>
      </w:r>
      <w:r>
        <w:rPr>
          <w:rFonts w:hint="eastAsia" w:ascii="仿宋_GB2312" w:hAnsi="仿宋_GB2312" w:eastAsia="仿宋_GB2312" w:cs="仿宋_GB2312"/>
          <w:sz w:val="32"/>
          <w:szCs w:val="32"/>
          <w:highlight w:val="none"/>
          <w:lang w:eastAsia="zh-CN"/>
        </w:rPr>
        <w:t>改正的，</w:t>
      </w:r>
      <w:r>
        <w:rPr>
          <w:rFonts w:hint="eastAsia" w:ascii="仿宋_GB2312" w:hAnsi="仿宋_GB2312" w:eastAsia="仿宋_GB2312" w:cs="仿宋_GB2312"/>
          <w:b w:val="0"/>
          <w:bCs w:val="0"/>
          <w:sz w:val="32"/>
          <w:szCs w:val="32"/>
          <w:highlight w:val="none"/>
          <w:lang w:val="en-US" w:eastAsia="zh-CN"/>
        </w:rPr>
        <w:t>处两千元罚款。</w:t>
      </w:r>
    </w:p>
    <w:p>
      <w:pPr>
        <w:keepNext w:val="0"/>
        <w:keepLines w:val="0"/>
        <w:pageBreakBefore w:val="0"/>
        <w:tabs>
          <w:tab w:val="left" w:pos="3990"/>
        </w:tabs>
        <w:kinsoku/>
        <w:wordWrap/>
        <w:topLinePunct w:val="0"/>
        <w:autoSpaceDE/>
        <w:autoSpaceDN/>
        <w:bidi w:val="0"/>
        <w:adjustRightInd/>
        <w:snapToGrid/>
        <w:spacing w:after="0" w:line="579" w:lineRule="exact"/>
        <w:ind w:firstLine="612"/>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第二十</w:t>
      </w: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（违规收取预付款的法律责任）</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经营者违反本规定第十</w:t>
      </w:r>
      <w:r>
        <w:rPr>
          <w:rFonts w:hint="eastAsia" w:ascii="仿宋_GB2312" w:hAnsi="仿宋_GB2312" w:eastAsia="仿宋_GB2312" w:cs="仿宋_GB2312"/>
          <w:sz w:val="32"/>
          <w:szCs w:val="32"/>
          <w:highlight w:val="none"/>
          <w:lang w:val="en" w:eastAsia="zh-CN"/>
        </w:rPr>
        <w:t>三</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第二款规定的，</w:t>
      </w:r>
      <w:r>
        <w:rPr>
          <w:rFonts w:hint="eastAsia" w:ascii="仿宋_GB2312" w:hAnsi="仿宋_GB2312" w:eastAsia="仿宋_GB2312" w:cs="仿宋_GB2312"/>
          <w:sz w:val="32"/>
          <w:szCs w:val="32"/>
          <w:highlight w:val="none"/>
          <w:lang w:val="en-US" w:eastAsia="zh-CN"/>
        </w:rPr>
        <w:t>由有关部门责令</w:t>
      </w:r>
      <w:r>
        <w:rPr>
          <w:rFonts w:hint="eastAsia" w:ascii="仿宋_GB2312" w:hAnsi="仿宋_GB2312" w:eastAsia="仿宋_GB2312" w:cs="仿宋_GB2312"/>
          <w:sz w:val="32"/>
          <w:szCs w:val="32"/>
          <w:highlight w:val="none"/>
        </w:rPr>
        <w:t>限期退还超额收取的预付款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处</w:t>
      </w:r>
      <w:r>
        <w:rPr>
          <w:rFonts w:hint="eastAsia" w:ascii="仿宋_GB2312" w:hAnsi="仿宋_GB2312" w:eastAsia="仿宋_GB2312" w:cs="仿宋_GB2312"/>
          <w:sz w:val="32"/>
          <w:szCs w:val="32"/>
          <w:highlight w:val="none"/>
          <w:lang w:eastAsia="zh-CN"/>
        </w:rPr>
        <w:t>两万元以上十万元以下罚款；情节严重的，责令停业</w:t>
      </w:r>
      <w:r>
        <w:rPr>
          <w:rFonts w:hint="eastAsia" w:ascii="仿宋_GB2312" w:hAnsi="仿宋_GB2312" w:eastAsia="仿宋_GB2312" w:cs="仿宋_GB2312"/>
          <w:sz w:val="32"/>
          <w:szCs w:val="32"/>
          <w:highlight w:val="none"/>
        </w:rPr>
        <w:t>。</w:t>
      </w:r>
    </w:p>
    <w:p>
      <w:pPr>
        <w:keepNext w:val="0"/>
        <w:keepLines w:val="0"/>
        <w:pageBreakBefore w:val="0"/>
        <w:tabs>
          <w:tab w:val="left" w:pos="3990"/>
        </w:tabs>
        <w:kinsoku/>
        <w:wordWrap/>
        <w:topLinePunct w:val="0"/>
        <w:autoSpaceDE/>
        <w:autoSpaceDN/>
        <w:bidi w:val="0"/>
        <w:adjustRightInd/>
        <w:snapToGrid/>
        <w:spacing w:after="0" w:line="579" w:lineRule="exact"/>
        <w:ind w:firstLine="612" w:firstLineChars="0"/>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bCs/>
          <w:sz w:val="32"/>
          <w:szCs w:val="32"/>
          <w:highlight w:val="none"/>
          <w:lang w:eastAsia="zh-CN"/>
        </w:rPr>
        <w:t>第二十</w:t>
      </w:r>
      <w:r>
        <w:rPr>
          <w:rFonts w:hint="eastAsia" w:ascii="楷体_GB2312" w:hAnsi="楷体_GB2312" w:eastAsia="楷体_GB2312" w:cs="楷体_GB2312"/>
          <w:b/>
          <w:bCs/>
          <w:sz w:val="32"/>
          <w:szCs w:val="32"/>
          <w:highlight w:val="none"/>
          <w:lang w:val="en-US" w:eastAsia="zh-CN"/>
        </w:rPr>
        <w:t>七</w:t>
      </w:r>
      <w:r>
        <w:rPr>
          <w:rFonts w:hint="eastAsia" w:ascii="楷体_GB2312" w:hAnsi="楷体_GB2312" w:eastAsia="楷体_GB2312" w:cs="楷体_GB2312"/>
          <w:b/>
          <w:bCs/>
          <w:sz w:val="32"/>
          <w:szCs w:val="32"/>
          <w:highlight w:val="none"/>
          <w:lang w:eastAsia="zh-CN"/>
        </w:rPr>
        <w:t>条（违反</w:t>
      </w:r>
      <w:r>
        <w:rPr>
          <w:rFonts w:hint="eastAsia" w:ascii="楷体_GB2312" w:hAnsi="楷体_GB2312" w:eastAsia="楷体_GB2312" w:cs="楷体_GB2312"/>
          <w:b/>
          <w:bCs/>
          <w:sz w:val="32"/>
          <w:szCs w:val="32"/>
          <w:highlight w:val="none"/>
          <w:lang w:val="en-US" w:eastAsia="zh-CN"/>
        </w:rPr>
        <w:t>格式条款</w:t>
      </w:r>
      <w:r>
        <w:rPr>
          <w:rFonts w:hint="eastAsia" w:ascii="楷体_GB2312" w:hAnsi="楷体_GB2312" w:eastAsia="楷体_GB2312" w:cs="楷体_GB2312"/>
          <w:b/>
          <w:bCs/>
          <w:sz w:val="32"/>
          <w:szCs w:val="32"/>
          <w:highlight w:val="none"/>
          <w:lang w:eastAsia="zh-CN"/>
        </w:rPr>
        <w:t>的法律责任）</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经营者违反本规定第十四条规定的，</w:t>
      </w:r>
      <w:r>
        <w:rPr>
          <w:rFonts w:hint="eastAsia" w:ascii="仿宋_GB2312" w:hAnsi="仿宋_GB2312" w:eastAsia="仿宋_GB2312" w:cs="仿宋_GB2312"/>
          <w:b w:val="0"/>
          <w:bCs w:val="0"/>
          <w:sz w:val="32"/>
          <w:szCs w:val="32"/>
          <w:highlight w:val="none"/>
          <w:lang w:val="en-US" w:eastAsia="zh-CN"/>
        </w:rPr>
        <w:t>由有关部门</w:t>
      </w:r>
      <w:r>
        <w:rPr>
          <w:rFonts w:hint="eastAsia" w:ascii="仿宋_GB2312" w:hAnsi="仿宋_GB2312" w:eastAsia="仿宋_GB2312" w:cs="仿宋_GB2312"/>
          <w:b w:val="0"/>
          <w:bCs w:val="0"/>
          <w:sz w:val="32"/>
          <w:szCs w:val="32"/>
          <w:highlight w:val="none"/>
          <w:lang w:eastAsia="zh-CN"/>
        </w:rPr>
        <w:t>依照《中华人民共和国消费者权益保护法实施条例》第五十条的规定处理。</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楷体_GB2312" w:hAnsi="楷体_GB2312" w:eastAsia="仿宋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eastAsia="zh-CN"/>
        </w:rPr>
        <w:t>第二十</w:t>
      </w:r>
      <w:r>
        <w:rPr>
          <w:rFonts w:hint="eastAsia" w:ascii="楷体_GB2312" w:hAnsi="楷体_GB2312" w:eastAsia="楷体_GB2312" w:cs="楷体_GB2312"/>
          <w:b/>
          <w:bCs/>
          <w:sz w:val="32"/>
          <w:szCs w:val="32"/>
          <w:highlight w:val="none"/>
          <w:lang w:val="en-US" w:eastAsia="zh-CN"/>
        </w:rPr>
        <w:t>八</w:t>
      </w:r>
      <w:r>
        <w:rPr>
          <w:rFonts w:hint="eastAsia" w:ascii="楷体_GB2312" w:hAnsi="楷体_GB2312" w:eastAsia="楷体_GB2312" w:cs="楷体_GB2312"/>
          <w:b/>
          <w:bCs/>
          <w:sz w:val="32"/>
          <w:szCs w:val="32"/>
          <w:highlight w:val="none"/>
          <w:lang w:eastAsia="zh-CN"/>
        </w:rPr>
        <w:t>条（违反退款义务的法律责任）</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经营者违反本规定</w:t>
      </w:r>
      <w:r>
        <w:rPr>
          <w:rFonts w:hint="eastAsia" w:ascii="仿宋_GB2312" w:hAnsi="仿宋_GB2312" w:eastAsia="仿宋_GB2312" w:cs="仿宋_GB2312"/>
          <w:sz w:val="32"/>
          <w:szCs w:val="32"/>
          <w:highlight w:val="none"/>
          <w:lang w:eastAsia="zh-CN"/>
        </w:rPr>
        <w:t>第十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条、第十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条规定</w:t>
      </w:r>
      <w:r>
        <w:rPr>
          <w:rFonts w:hint="eastAsia" w:ascii="仿宋_GB2312" w:hAnsi="仿宋_GB2312" w:eastAsia="仿宋_GB2312" w:cs="仿宋_GB2312"/>
          <w:sz w:val="32"/>
          <w:szCs w:val="32"/>
          <w:highlight w:val="none"/>
          <w:lang w:val="en-US" w:eastAsia="zh-CN"/>
        </w:rPr>
        <w:t>的，由有关部门责令限期改正；逾期未改正的，责令停止收取预付款，处一万元以上五万元以下罚款。</w:t>
      </w:r>
    </w:p>
    <w:p>
      <w:pPr>
        <w:keepNext w:val="0"/>
        <w:keepLines w:val="0"/>
        <w:pageBreakBefore w:val="0"/>
        <w:widowControl/>
        <w:kinsoku/>
        <w:wordWrap/>
        <w:overflowPunct/>
        <w:topLinePunct w:val="0"/>
        <w:autoSpaceDE/>
        <w:autoSpaceDN/>
        <w:bidi w:val="0"/>
        <w:adjustRightInd/>
        <w:snapToGrid/>
        <w:spacing w:after="0" w:line="579" w:lineRule="exact"/>
        <w:ind w:firstLine="612" w:firstLineChars="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bCs/>
          <w:sz w:val="32"/>
          <w:szCs w:val="32"/>
          <w:highlight w:val="none"/>
          <w:lang w:eastAsia="zh-CN"/>
        </w:rPr>
        <w:t>第二十</w:t>
      </w:r>
      <w:r>
        <w:rPr>
          <w:rFonts w:hint="eastAsia" w:ascii="楷体_GB2312" w:hAnsi="楷体_GB2312" w:eastAsia="楷体_GB2312" w:cs="楷体_GB2312"/>
          <w:b/>
          <w:bCs/>
          <w:sz w:val="32"/>
          <w:szCs w:val="32"/>
          <w:highlight w:val="none"/>
          <w:lang w:val="en-US" w:eastAsia="zh-CN"/>
        </w:rPr>
        <w:t>九</w:t>
      </w:r>
      <w:r>
        <w:rPr>
          <w:rFonts w:hint="eastAsia" w:ascii="楷体_GB2312" w:hAnsi="楷体_GB2312" w:eastAsia="楷体_GB2312" w:cs="楷体_GB2312"/>
          <w:b/>
          <w:bCs/>
          <w:sz w:val="32"/>
          <w:szCs w:val="32"/>
          <w:highlight w:val="none"/>
          <w:lang w:eastAsia="zh-CN"/>
        </w:rPr>
        <w:t>条（行刑衔接）</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rPr>
        <w:t>经营者在经营过程中存在合同诈骗、洗钱、挪用资金、</w:t>
      </w:r>
      <w:r>
        <w:rPr>
          <w:rFonts w:hint="eastAsia" w:ascii="仿宋_GB2312" w:hAnsi="仿宋_GB2312" w:eastAsia="仿宋_GB2312" w:cs="仿宋_GB2312"/>
          <w:b w:val="0"/>
          <w:bCs w:val="0"/>
          <w:sz w:val="32"/>
          <w:szCs w:val="32"/>
          <w:highlight w:val="none"/>
          <w:lang w:val="en-US" w:eastAsia="zh-CN"/>
        </w:rPr>
        <w:t>非法金融活动</w:t>
      </w:r>
      <w:r>
        <w:rPr>
          <w:rFonts w:hint="eastAsia" w:ascii="仿宋_GB2312" w:hAnsi="仿宋_GB2312" w:eastAsia="仿宋_GB2312" w:cs="仿宋_GB2312"/>
          <w:b w:val="0"/>
          <w:bCs w:val="0"/>
          <w:sz w:val="32"/>
          <w:szCs w:val="32"/>
          <w:highlight w:val="none"/>
          <w:lang w:val="en-US"/>
        </w:rPr>
        <w:t>等情形的，由公安等部门依法处理，构成犯罪的，依法追究刑事责任。</w:t>
      </w:r>
    </w:p>
    <w:p>
      <w:pPr>
        <w:keepNext w:val="0"/>
        <w:keepLines w:val="0"/>
        <w:pageBreakBefore w:val="0"/>
        <w:widowControl/>
        <w:kinsoku/>
        <w:wordWrap/>
        <w:overflowPunct/>
        <w:topLinePunct w:val="0"/>
        <w:autoSpaceDE/>
        <w:autoSpaceDN/>
        <w:bidi w:val="0"/>
        <w:adjustRightInd/>
        <w:snapToGrid/>
        <w:spacing w:after="0" w:line="579" w:lineRule="exact"/>
        <w:ind w:firstLine="612" w:firstLineChars="0"/>
        <w:textAlignment w:val="auto"/>
        <w:rPr>
          <w:rFonts w:hint="eastAsia" w:ascii="楷体_GB2312" w:hAnsi="楷体_GB2312" w:eastAsia="楷体_GB2312" w:cs="楷体_GB2312"/>
          <w:b/>
          <w:bCs/>
          <w:sz w:val="32"/>
          <w:szCs w:val="32"/>
          <w:highlight w:val="none"/>
        </w:rPr>
      </w:pPr>
      <w:r>
        <w:rPr>
          <w:rFonts w:hint="eastAsia" w:ascii="仿宋_GB2312" w:hAnsi="仿宋_GB2312" w:eastAsia="仿宋_GB2312" w:cs="仿宋_GB2312"/>
          <w:b w:val="0"/>
          <w:bCs w:val="0"/>
          <w:sz w:val="32"/>
          <w:szCs w:val="32"/>
          <w:highlight w:val="none"/>
          <w:lang w:val="en-US" w:eastAsia="zh-CN"/>
        </w:rPr>
        <w:t>相关</w:t>
      </w:r>
      <w:r>
        <w:rPr>
          <w:rFonts w:hint="eastAsia" w:ascii="仿宋_GB2312" w:hAnsi="仿宋_GB2312" w:eastAsia="仿宋_GB2312" w:cs="仿宋_GB2312"/>
          <w:b w:val="0"/>
          <w:bCs w:val="0"/>
          <w:sz w:val="32"/>
          <w:szCs w:val="32"/>
          <w:highlight w:val="none"/>
          <w:lang w:val="en-US"/>
        </w:rPr>
        <w:t>部门应当依照法律、法规等规定，及时将涉嫌构成犯罪的案件移送同级公安机关。</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三十</w:t>
      </w:r>
      <w:r>
        <w:rPr>
          <w:rFonts w:hint="eastAsia" w:ascii="楷体_GB2312" w:hAnsi="楷体_GB2312" w:eastAsia="楷体_GB2312" w:cs="楷体_GB2312"/>
          <w:b/>
          <w:bCs/>
          <w:sz w:val="32"/>
          <w:szCs w:val="32"/>
          <w:highlight w:val="none"/>
        </w:rPr>
        <w:t>条</w:t>
      </w:r>
      <w:r>
        <w:rPr>
          <w:rFonts w:hint="eastAsia" w:ascii="楷体_GB2312" w:hAnsi="楷体_GB2312" w:eastAsia="楷体_GB2312" w:cs="楷体_GB2312"/>
          <w:b/>
          <w:bCs/>
          <w:sz w:val="32"/>
          <w:szCs w:val="32"/>
          <w:highlight w:val="none"/>
          <w:lang w:eastAsia="zh-CN"/>
        </w:rPr>
        <w:t>（相关定义）</w:t>
      </w:r>
      <w:r>
        <w:rPr>
          <w:rFonts w:hint="eastAsia" w:ascii="楷体_GB2312" w:hAnsi="楷体_GB2312" w:eastAsia="楷体_GB2312" w:cs="楷体_GB2312"/>
          <w:b/>
          <w:bCs/>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生活消费领域是指</w:t>
      </w:r>
      <w:r>
        <w:rPr>
          <w:rFonts w:hint="eastAsia" w:ascii="仿宋_GB2312" w:hAnsi="仿宋_GB2312" w:eastAsia="仿宋_GB2312" w:cs="仿宋_GB2312"/>
          <w:i w:val="0"/>
          <w:caps w:val="0"/>
          <w:color w:val="232323"/>
          <w:spacing w:val="0"/>
          <w:kern w:val="2"/>
          <w:sz w:val="32"/>
          <w:szCs w:val="32"/>
          <w:highlight w:val="none"/>
          <w:shd w:val="clear" w:color="auto" w:fill="auto"/>
          <w:lang w:val="en-US" w:eastAsia="zh-CN" w:bidi="ar"/>
        </w:rPr>
        <w:t>消费者为生活消费需要购买、使用商品或者接受服务</w:t>
      </w:r>
      <w:r>
        <w:rPr>
          <w:rFonts w:hint="eastAsia" w:ascii="仿宋_GB2312" w:hAnsi="仿宋_GB2312" w:eastAsia="仿宋_GB2312" w:cs="仿宋_GB2312"/>
          <w:i w:val="0"/>
          <w:caps w:val="0"/>
          <w:spacing w:val="0"/>
          <w:kern w:val="2"/>
          <w:sz w:val="32"/>
          <w:szCs w:val="32"/>
          <w:highlight w:val="none"/>
          <w:shd w:val="clear" w:color="auto" w:fill="auto"/>
          <w:lang w:val="en-US" w:eastAsia="zh-CN" w:bidi="ar"/>
        </w:rPr>
        <w:t>。</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预收资金是指经营者通过开展预付式经营活动收取的全部消费者预付款的资金总额。</w:t>
      </w:r>
    </w:p>
    <w:p>
      <w:pPr>
        <w:keepNext w:val="0"/>
        <w:keepLines w:val="0"/>
        <w:pageBreakBefore w:val="0"/>
        <w:kinsoku/>
        <w:wordWrap/>
        <w:topLinePunct w:val="0"/>
        <w:autoSpaceDE/>
        <w:autoSpaceDN/>
        <w:bidi w:val="0"/>
        <w:adjustRightInd/>
        <w:snapToGrid/>
        <w:spacing w:after="0" w:line="579" w:lineRule="exact"/>
        <w:ind w:firstLine="612"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预付款余额是指同一消费者向经营者支付预付款中尚未实际消费的部分。</w:t>
      </w:r>
    </w:p>
    <w:p>
      <w:pPr>
        <w:keepNext w:val="0"/>
        <w:keepLines w:val="0"/>
        <w:pageBreakBefore w:val="0"/>
        <w:widowControl/>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lang w:val="en-US" w:eastAsia="zh-CN"/>
        </w:rPr>
        <w:t>本规定所称日指自然日</w:t>
      </w:r>
      <w:r>
        <w:rPr>
          <w:rFonts w:hint="eastAsia" w:ascii="仿宋_GB2312" w:hAnsi="仿宋_GB2312" w:eastAsia="仿宋_GB2312" w:cs="仿宋_GB2312"/>
          <w:b w:val="0"/>
          <w:bCs w:val="0"/>
          <w:sz w:val="32"/>
          <w:szCs w:val="32"/>
          <w:highlight w:val="none"/>
          <w:lang w:eastAsia="zh-CN"/>
        </w:rPr>
        <w:t>，所称</w:t>
      </w:r>
      <w:r>
        <w:rPr>
          <w:rFonts w:hint="eastAsia" w:ascii="仿宋_GB2312" w:hAnsi="仿宋_GB2312" w:eastAsia="仿宋_GB2312" w:cs="仿宋_GB2312"/>
          <w:b w:val="0"/>
          <w:bCs w:val="0"/>
          <w:sz w:val="32"/>
          <w:szCs w:val="32"/>
          <w:highlight w:val="none"/>
          <w:lang w:val="en-US" w:eastAsia="zh-CN"/>
        </w:rPr>
        <w:t>以上、以下，包括本数。</w:t>
      </w:r>
    </w:p>
    <w:p>
      <w:pPr>
        <w:keepNext w:val="0"/>
        <w:keepLines w:val="0"/>
        <w:pageBreakBefore w:val="0"/>
        <w:kinsoku/>
        <w:overflowPunct/>
        <w:topLinePunct w:val="0"/>
        <w:autoSpaceDE/>
        <w:autoSpaceDN/>
        <w:bidi w:val="0"/>
        <w:adjustRightInd/>
        <w:snapToGrid/>
        <w:spacing w:line="579" w:lineRule="exact"/>
        <w:ind w:firstLine="643" w:firstLineChars="200"/>
        <w:jc w:val="left"/>
        <w:textAlignment w:val="auto"/>
        <w:rPr>
          <w:rFonts w:hint="eastAsia"/>
        </w:rPr>
        <w:sectPr>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b/>
          <w:bCs/>
          <w:sz w:val="32"/>
          <w:szCs w:val="32"/>
          <w:highlight w:val="none"/>
          <w:lang w:eastAsia="zh-CN"/>
        </w:rPr>
        <w:t>第</w:t>
      </w:r>
      <w:r>
        <w:rPr>
          <w:rFonts w:hint="eastAsia" w:ascii="楷体_GB2312" w:hAnsi="楷体_GB2312" w:eastAsia="楷体_GB2312" w:cs="楷体_GB2312"/>
          <w:b/>
          <w:bCs/>
          <w:sz w:val="32"/>
          <w:szCs w:val="32"/>
          <w:highlight w:val="none"/>
          <w:lang w:val="en-US" w:eastAsia="zh-CN"/>
        </w:rPr>
        <w:t>三十一</w:t>
      </w:r>
      <w:r>
        <w:rPr>
          <w:rFonts w:hint="eastAsia" w:ascii="楷体_GB2312" w:hAnsi="楷体_GB2312" w:eastAsia="楷体_GB2312" w:cs="楷体_GB2312"/>
          <w:b/>
          <w:bCs/>
          <w:sz w:val="32"/>
          <w:szCs w:val="32"/>
          <w:highlight w:val="none"/>
          <w:lang w:eastAsia="zh-CN"/>
        </w:rPr>
        <w:t>条（</w:t>
      </w:r>
      <w:r>
        <w:rPr>
          <w:rFonts w:hint="eastAsia" w:ascii="楷体_GB2312" w:hAnsi="楷体_GB2312" w:eastAsia="楷体_GB2312" w:cs="楷体_GB2312"/>
          <w:b/>
          <w:bCs/>
          <w:sz w:val="32"/>
          <w:szCs w:val="32"/>
          <w:highlight w:val="none"/>
        </w:rPr>
        <w:t>施行日期</w:t>
      </w:r>
      <w:r>
        <w:rPr>
          <w:rFonts w:hint="eastAsia" w:ascii="楷体_GB2312" w:hAnsi="楷体_GB2312" w:eastAsia="楷体_GB2312" w:cs="楷体_GB2312"/>
          <w:b/>
          <w:bCs/>
          <w:sz w:val="32"/>
          <w:szCs w:val="32"/>
          <w:highlight w:val="none"/>
          <w:lang w:eastAsia="zh-CN"/>
        </w:rPr>
        <w:t>）</w:t>
      </w:r>
      <w:r>
        <w:rPr>
          <w:rFonts w:ascii="楷体_GB2312" w:hAnsi="楷体_GB2312" w:eastAsia="楷体_GB2312" w:cs="楷体_GB2312"/>
          <w:b/>
          <w:bCs/>
          <w:sz w:val="32"/>
          <w:szCs w:val="32"/>
          <w:highlight w:val="none"/>
        </w:rPr>
        <w:t xml:space="preserve"> </w:t>
      </w:r>
      <w:r>
        <w:rPr>
          <w:rFonts w:hint="eastAsia" w:ascii="仿宋_GB2312" w:hAnsi="仿宋_GB2312" w:eastAsia="仿宋_GB2312" w:cs="仿宋_GB2312"/>
          <w:sz w:val="32"/>
          <w:szCs w:val="32"/>
          <w:highlight w:val="none"/>
        </w:rPr>
        <w:t>本规定自202  年  月 日起施行。</w:t>
      </w:r>
      <w:r>
        <w:rPr>
          <w:rFonts w:hint="eastAsia" w:ascii="仿宋_GB2312" w:hAnsi="仿宋_GB2312" w:eastAsia="仿宋_GB2312" w:cs="仿宋_GB2312"/>
          <w:sz w:val="32"/>
          <w:szCs w:val="32"/>
          <w:highlight w:val="none"/>
          <w:lang w:eastAsia="zh-CN"/>
        </w:rPr>
        <w:t>本规定实施前已开展预付式经营活动的经营者，应当自本规定实施之日起九十日内完成信息报送。</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FC615"/>
    <w:multiLevelType w:val="singleLevel"/>
    <w:tmpl w:val="9BDFC615"/>
    <w:lvl w:ilvl="0" w:tentative="0">
      <w:start w:val="1"/>
      <w:numFmt w:val="chineseCounting"/>
      <w:suff w:val="nothing"/>
      <w:lvlText w:val="（%1）"/>
      <w:lvlJc w:val="left"/>
      <w:rPr>
        <w:rFonts w:hint="eastAsia"/>
      </w:rPr>
    </w:lvl>
  </w:abstractNum>
  <w:abstractNum w:abstractNumId="1">
    <w:nsid w:val="309AD996"/>
    <w:multiLevelType w:val="singleLevel"/>
    <w:tmpl w:val="309AD996"/>
    <w:lvl w:ilvl="0" w:tentative="0">
      <w:start w:val="1"/>
      <w:numFmt w:val="chineseCounting"/>
      <w:suff w:val="nothing"/>
      <w:lvlText w:val="（%1）"/>
      <w:lvlJc w:val="left"/>
      <w:rPr>
        <w:rFonts w:hint="eastAsia"/>
      </w:rPr>
    </w:lvl>
  </w:abstractNum>
  <w:abstractNum w:abstractNumId="2">
    <w:nsid w:val="6DFF42D9"/>
    <w:multiLevelType w:val="singleLevel"/>
    <w:tmpl w:val="6DFF42D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30417BA5"/>
    <w:rsid w:val="3041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2026-04-10T10:07:00Z</dcterms:created>
  <dc:creator>阿营</dc:creator>
  <cp:lastModifiedBy>阿营</cp:lastModifiedBy>
  <dcterms:modified xsi:type="dcterms:W3CDTF">2026-04-10T10:08:07Z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FC3CF8F21E0346E19E1F50E97352DE7E_11</vt:lpwstr>
  </property>
</Properties>
</file>