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关于《深圳经济特区预付式经营管理若干规定（</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rPr>
        <w:t>）》的说明</w:t>
      </w:r>
    </w:p>
    <w:p>
      <w:pPr>
        <w:spacing w:line="560" w:lineRule="exact"/>
        <w:ind w:firstLine="640" w:firstLineChars="200"/>
        <w:jc w:val="left"/>
        <w:rPr>
          <w:rFonts w:hint="eastAsia" w:ascii="仿宋_GB2312" w:hAnsi="仿宋_GB2312" w:eastAsia="仿宋_GB2312" w:cs="仿宋_GB2312"/>
          <w:bCs/>
          <w:sz w:val="32"/>
        </w:rPr>
      </w:pPr>
    </w:p>
    <w:p>
      <w:pPr>
        <w:spacing w:line="560" w:lineRule="exact"/>
        <w:ind w:firstLine="640" w:firstLineChars="200"/>
        <w:rPr>
          <w:rFonts w:hint="eastAsia" w:ascii="黑体" w:hAnsi="黑体" w:eastAsia="黑体"/>
          <w:bCs/>
          <w:sz w:val="32"/>
        </w:rPr>
      </w:pPr>
      <w:r>
        <w:rPr>
          <w:rStyle w:val="5"/>
          <w:rFonts w:hint="eastAsia" w:ascii="仿宋_GB2312" w:hAnsi="仿宋_GB2312" w:eastAsia="仿宋_GB2312" w:cs="仿宋_GB2312"/>
          <w:sz w:val="32"/>
          <w:szCs w:val="32"/>
          <w:lang w:eastAsia="zh-CN"/>
        </w:rPr>
        <w:t>为加强预付式经营管理，保护消费者合法权益，规范预付式消费市场秩序，发挥消费对经济发展的基础性作用，助力深圳加快建设具有全球重要影响力的消费中心，市市场监管局牵头研究，组织起草了《深圳经济特区预付式经营管理若干规定（征求意见稿）》（以下简称《规定》）。现将有关情况说明如下：</w:t>
      </w:r>
    </w:p>
    <w:p>
      <w:pPr>
        <w:spacing w:line="560" w:lineRule="exact"/>
        <w:ind w:firstLine="640" w:firstLineChars="200"/>
        <w:rPr>
          <w:rFonts w:ascii="黑体" w:hAnsi="黑体" w:eastAsia="黑体"/>
          <w:bCs/>
          <w:sz w:val="32"/>
        </w:rPr>
      </w:pPr>
      <w:r>
        <w:rPr>
          <w:rFonts w:hint="eastAsia" w:ascii="黑体" w:hAnsi="黑体" w:eastAsia="黑体"/>
          <w:bCs/>
          <w:sz w:val="32"/>
        </w:rPr>
        <w:t>一、</w:t>
      </w:r>
      <w:r>
        <w:rPr>
          <w:rFonts w:hint="eastAsia" w:ascii="黑体" w:hAnsi="黑体" w:eastAsia="黑体"/>
          <w:bCs/>
          <w:sz w:val="32"/>
          <w:lang w:val="en-US" w:eastAsia="zh-CN"/>
        </w:rPr>
        <w:t>立法的</w:t>
      </w:r>
      <w:r>
        <w:rPr>
          <w:rFonts w:hint="eastAsia" w:ascii="黑体" w:hAnsi="黑体" w:eastAsia="黑体"/>
          <w:bCs/>
          <w:sz w:val="32"/>
        </w:rPr>
        <w:t>必要性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预付式经营作为生活消费领域的常见交易模式，已深度融入教育培训、体育健身、美容美发等市民日常生活场景，在释放消费潜力、稳定商户经营、促进产业发展方面发挥着重要作用。但近年来，该领域暴露出的“退款难”“商家跑路”“霸王条款” 等问题成为民生痛点，也制约了消费信心的有效释放。开展预付式经营专项立法，是深圳践行以人民为中心发展思想、破解行业监管痼疾、固化创新实践成果、赋能经济高质量发展的必然选择，具有极强的现实必要性和紧迫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（一）践行以人民为中心发展思想、优化消费环境的核心举措</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预付式消费相关诉求已成为我市消费维权的重点领域，近三年全市相关消费诉求累计超20万宗，严重损害消费者切身利益，甚至引发群体性矛盾，影响社会稳定。国务院《中华人民共和国消费者权益保护法实施条例》和最高人民法院预付式消费民事纠纷司法解释的出台，为预付式经营监管提供了上位法依据，但缺乏贴合地方实际的全链条制度支撑。通过特区立法构建覆盖平台监管、信息备案、资金保障、权益保护、法律惩戒的完整制度体系，着力从根源上破解消费者 “维权难、退费难” 的急难愁盼问题，营造安全、放心、公平的消费环境，切实增强市民消费获得感、幸福感和安全感。</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val="en-US" w:eastAsia="zh-CN"/>
        </w:rPr>
        <w:t>（二）破解行业监管痼疾、提升市域治理效能的迫切需要</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当前我市预付式经营监管面临三大核心痛点：一是监管体系不完善，商务部相关规章覆盖面有限，深圳个体工商户占比高，大量生活消费业态处于监管真空，部门职责交叉、协同机制不畅导致监管合力不足；二是资金安全无保障，预付资金缺乏有效管控措施，商家挪用、卷款跑路等行为屡禁不止，缺乏有效制约；三是执法震慑力不足，现行规定对违法行为的处罚力度较轻，且行刑衔接机制不够顺畅，难以形成有效约束。通过特区立法进行顶层设计和制度创新，以系统性解决信息不对称、资金监管难、失信惩戒弱等深层次问题，实现对行业乱象的标本兼治，提升市域治理现代化水平。</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（三）</w:t>
      </w:r>
      <w:r>
        <w:rPr>
          <w:rFonts w:hint="eastAsia" w:ascii="楷体_GB2312" w:hAnsi="楷体_GB2312" w:eastAsia="楷体_GB2312" w:cs="楷体_GB2312"/>
          <w:b w:val="0"/>
          <w:bCs w:val="0"/>
          <w:color w:val="000000"/>
          <w:sz w:val="32"/>
          <w:szCs w:val="32"/>
          <w:highlight w:val="none"/>
          <w:lang w:val="en-US" w:eastAsia="zh-CN"/>
        </w:rPr>
        <w:t>固化深圳创新实践、为全国治理提供 “深圳经验” 的必然选择</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在市委、市政府的领导下，深圳在预付式经营治理领域率先开展一系列创新探索，形成了多项经实践检验的有效举措：一是推出数字人民币智能合约资金监管模式，累计签约合作商户超5000家，监管资金规模超50亿元，自2022年试点以来，全市纳入数字人民币管理的教培机构未发生一起因跑路导致的资金损失事件；二是搭建“预付码上查”公共信息查询平台，累计访问量超1100万人次，实现经营者信息公开和社会监督；三是打造“预付无忧”商圈，推动行业自律和社会共治。目前迫切需要通过立法将这些成功实践固化、提升为具有普遍约束力的法律制度，将实践优势转化为法治优势，为全国预付式消费治理提供可复制、可推广的深圳经验。</w:t>
      </w:r>
    </w:p>
    <w:p>
      <w:pPr>
        <w:spacing w:line="560" w:lineRule="exact"/>
        <w:ind w:firstLine="640" w:firstLineChars="200"/>
        <w:rPr>
          <w:rFonts w:ascii="黑体" w:hAnsi="黑体" w:eastAsia="黑体"/>
          <w:bCs/>
          <w:color w:val="auto"/>
          <w:sz w:val="32"/>
        </w:rPr>
      </w:pPr>
      <w:r>
        <w:rPr>
          <w:rFonts w:hint="eastAsia" w:ascii="黑体" w:hAnsi="黑体" w:eastAsia="黑体"/>
          <w:bCs/>
          <w:color w:val="auto"/>
          <w:sz w:val="32"/>
        </w:rPr>
        <w:t>二、主要</w:t>
      </w:r>
      <w:r>
        <w:rPr>
          <w:rFonts w:hint="eastAsia" w:ascii="黑体" w:hAnsi="黑体" w:eastAsia="黑体"/>
          <w:bCs/>
          <w:color w:val="auto"/>
          <w:sz w:val="32"/>
          <w:lang w:val="en-US" w:eastAsia="zh-CN"/>
        </w:rPr>
        <w:t>内容及说明</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征求意见</w:t>
      </w:r>
      <w:r>
        <w:rPr>
          <w:rFonts w:hint="eastAsia" w:ascii="仿宋_GB2312" w:hAnsi="仿宋_GB2312" w:eastAsia="仿宋_GB2312" w:cs="仿宋_GB2312"/>
          <w:b w:val="0"/>
          <w:bCs w:val="0"/>
          <w:color w:val="000000"/>
          <w:sz w:val="32"/>
          <w:szCs w:val="32"/>
          <w:highlight w:val="none"/>
          <w:lang w:eastAsia="zh-CN"/>
        </w:rPr>
        <w:t>稿》共</w:t>
      </w:r>
      <w:r>
        <w:rPr>
          <w:rFonts w:hint="eastAsia" w:ascii="仿宋_GB2312" w:hAnsi="仿宋_GB2312" w:eastAsia="仿宋_GB2312" w:cs="仿宋_GB2312"/>
          <w:b w:val="0"/>
          <w:bCs w:val="0"/>
          <w:color w:val="000000"/>
          <w:sz w:val="32"/>
          <w:szCs w:val="32"/>
          <w:highlight w:val="none"/>
          <w:lang w:val="en-US" w:eastAsia="zh-CN"/>
        </w:rPr>
        <w:t>31</w:t>
      </w:r>
      <w:r>
        <w:rPr>
          <w:rFonts w:hint="eastAsia" w:ascii="仿宋_GB2312" w:hAnsi="仿宋_GB2312" w:eastAsia="仿宋_GB2312" w:cs="仿宋_GB2312"/>
          <w:b w:val="0"/>
          <w:bCs w:val="0"/>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以规范预付式经营、保护消费者合法权益、防范化解经营风险、促进行业健康发展为核心，构建了覆盖准入规范、经营管控、协同监管、风险处置、惩戒约束的全链条治理体系，核心聚焦双平台建设、信息备案、资金保障、双限管控、消费者权益保护五大关键环节，具体内容分九个方面说明如下：</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（一）立法目的、适用范围与监管原则</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本部分作为立法总纲，明确了</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征求意见</w:t>
      </w:r>
      <w:r>
        <w:rPr>
          <w:rFonts w:hint="eastAsia" w:ascii="仿宋_GB2312" w:hAnsi="仿宋_GB2312" w:eastAsia="仿宋_GB2312" w:cs="仿宋_GB2312"/>
          <w:b w:val="0"/>
          <w:bCs w:val="0"/>
          <w:color w:val="000000"/>
          <w:sz w:val="32"/>
          <w:szCs w:val="32"/>
          <w:highlight w:val="none"/>
          <w:lang w:eastAsia="zh-CN"/>
        </w:rPr>
        <w:t>稿》</w:t>
      </w:r>
      <w:r>
        <w:rPr>
          <w:rFonts w:hint="eastAsia" w:ascii="仿宋_GB2312" w:hAnsi="仿宋_GB2312" w:eastAsia="仿宋_GB2312" w:cs="仿宋_GB2312"/>
          <w:b w:val="0"/>
          <w:bCs w:val="0"/>
          <w:color w:val="000000"/>
          <w:sz w:val="32"/>
          <w:szCs w:val="32"/>
          <w:highlight w:val="none"/>
          <w:lang w:val="en-US" w:eastAsia="zh-CN"/>
        </w:rPr>
        <w:t>的制定初衷、规制边界与治理准则，为后续制度设计定下总基调：</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立法目的（第一条）：</w:t>
      </w:r>
      <w:r>
        <w:rPr>
          <w:rFonts w:hint="eastAsia" w:ascii="仿宋_GB2312" w:hAnsi="仿宋_GB2312" w:eastAsia="仿宋_GB2312" w:cs="仿宋_GB2312"/>
          <w:b w:val="0"/>
          <w:bCs w:val="0"/>
          <w:color w:val="000000"/>
          <w:sz w:val="32"/>
          <w:szCs w:val="32"/>
          <w:highlight w:val="none"/>
          <w:lang w:val="en-US" w:eastAsia="zh-CN"/>
        </w:rPr>
        <w:t>明确为加强预付式经营管理，保护消费者合法权益，规范市场秩序，结合深圳经济特区实际制定本规定，突出“监管、保护、规范”三大核心目标。</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适用范围（第二条）：</w:t>
      </w:r>
      <w:r>
        <w:rPr>
          <w:rFonts w:hint="eastAsia" w:ascii="仿宋_GB2312" w:hAnsi="仿宋_GB2312" w:eastAsia="仿宋_GB2312" w:cs="仿宋_GB2312"/>
          <w:b w:val="0"/>
          <w:bCs w:val="0"/>
          <w:color w:val="000000"/>
          <w:sz w:val="32"/>
          <w:szCs w:val="32"/>
          <w:highlight w:val="none"/>
          <w:lang w:val="en-US" w:eastAsia="zh-CN"/>
        </w:rPr>
        <w:t>精准界定“预付式经营活动”为生活消费领域，经营者向消费者收取预付款，并以多次、持续等非一次性方式兑付商品或提供服务的交易行为；同时明确排除支付机构预付卡发行、公用事业预收费等四类非高风险情形，简化定义表述、收缩规制范围，精准聚焦教育培训、体育健身等高风险生活消费业态，避免监管范围过于宽泛导致的监管资源分散。</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监管原则（第三条）：</w:t>
      </w:r>
      <w:r>
        <w:rPr>
          <w:rFonts w:hint="eastAsia" w:ascii="仿宋_GB2312" w:hAnsi="仿宋_GB2312" w:eastAsia="仿宋_GB2312" w:cs="仿宋_GB2312"/>
          <w:b w:val="0"/>
          <w:bCs w:val="0"/>
          <w:color w:val="000000"/>
          <w:sz w:val="32"/>
          <w:szCs w:val="32"/>
          <w:highlight w:val="none"/>
          <w:lang w:eastAsia="zh-CN"/>
        </w:rPr>
        <w:t>确立“规范发展、风险防范、行业监管、部门协同、社会共治”的基本原则，为整个监管体系构建定下总基调。</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（二）监管职责体系，厘清各方监管责任</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构建“政府领导、统筹协调、部门分工、街道协助、社会参与”的多层级、全覆盖监管职责体系：</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政府职责（第四条）：</w:t>
      </w:r>
      <w:r>
        <w:rPr>
          <w:rFonts w:hint="eastAsia" w:ascii="仿宋_GB2312" w:hAnsi="仿宋_GB2312" w:eastAsia="仿宋_GB2312" w:cs="仿宋_GB2312"/>
          <w:b w:val="0"/>
          <w:bCs w:val="0"/>
          <w:color w:val="000000"/>
          <w:sz w:val="32"/>
          <w:szCs w:val="32"/>
          <w:highlight w:val="none"/>
          <w:lang w:val="en-US" w:eastAsia="zh-CN"/>
        </w:rPr>
        <w:t>明确市、区政府的领导协调职责，要求组织成立预付式经营监管议事协调机构；街道办事处承担属地协助监管职责，推动监管力量下沉，形成基层监管合力。</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部门职责（第五条）：</w:t>
      </w:r>
      <w:r>
        <w:rPr>
          <w:rFonts w:hint="eastAsia" w:ascii="仿宋_GB2312" w:hAnsi="仿宋_GB2312" w:eastAsia="仿宋_GB2312" w:cs="仿宋_GB2312"/>
          <w:b w:val="0"/>
          <w:bCs w:val="0"/>
          <w:color w:val="000000"/>
          <w:sz w:val="32"/>
          <w:szCs w:val="32"/>
          <w:highlight w:val="none"/>
          <w:lang w:val="en-US" w:eastAsia="zh-CN"/>
        </w:rPr>
        <w:t>厘清预付式经营监管议事协调机构、平安建设组织协调机构的统筹协调与矛盾纠纷治理职责；明确发展改革、教育、商务等10余个行业主管部门的具体监管领域，实现新能源充电、校外培训、养老服务、医疗美容等生活消费领域全监管覆盖；同时明确公安、地方金融管理等部门的协同监管职责，要求各部门在职责范围内履行监管义务，形成“主责部门+协同部门”的监管合力。</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社会主体职责（第六条）：</w:t>
      </w:r>
      <w:r>
        <w:rPr>
          <w:rFonts w:hint="eastAsia" w:ascii="仿宋_GB2312" w:hAnsi="仿宋_GB2312" w:eastAsia="仿宋_GB2312" w:cs="仿宋_GB2312"/>
          <w:b w:val="0"/>
          <w:bCs w:val="0"/>
          <w:color w:val="000000"/>
          <w:sz w:val="32"/>
          <w:szCs w:val="32"/>
          <w:highlight w:val="none"/>
          <w:lang w:val="en-US" w:eastAsia="zh-CN"/>
        </w:rPr>
        <w:t>强化行业组织的自律作用，明确其制定行业规范、开展合规培训、配合投诉处理、发布消费警示的核心职责，推动行业自我管理、自我规范，发挥社会力量在预付式经营治理中的补充作用。</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（三）双平台数字化监管体系，实现科技赋能监管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以科技赋能为核心，搭建全市统一的预付式经营主体监测监管系统（对内监管平台）和公共信息查询平台（对外查询平台），构建数字化、智能化、协同化的监管支撑体系（第</w:t>
      </w:r>
      <w:r>
        <w:rPr>
          <w:rFonts w:hint="eastAsia" w:ascii="仿宋_GB2312" w:hAnsi="仿宋_GB2312" w:eastAsia="仿宋_GB2312" w:cs="仿宋_GB2312"/>
          <w:b w:val="0"/>
          <w:bCs w:val="0"/>
          <w:color w:val="000000"/>
          <w:sz w:val="32"/>
          <w:szCs w:val="32"/>
          <w:highlight w:val="none"/>
          <w:lang w:val="en-US" w:eastAsia="zh-CN"/>
        </w:rPr>
        <w:t>七</w:t>
      </w:r>
      <w:r>
        <w:rPr>
          <w:rFonts w:hint="eastAsia" w:ascii="仿宋_GB2312" w:hAnsi="仿宋_GB2312" w:eastAsia="仿宋_GB2312" w:cs="仿宋_GB2312"/>
          <w:b w:val="0"/>
          <w:bCs w:val="0"/>
          <w:color w:val="000000"/>
          <w:sz w:val="32"/>
          <w:szCs w:val="32"/>
          <w:highlight w:val="none"/>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平台建设与保障：</w:t>
      </w:r>
      <w:r>
        <w:rPr>
          <w:rFonts w:hint="eastAsia" w:ascii="仿宋_GB2312" w:hAnsi="仿宋_GB2312" w:eastAsia="仿宋_GB2312" w:cs="仿宋_GB2312"/>
          <w:b w:val="0"/>
          <w:bCs w:val="0"/>
          <w:color w:val="000000"/>
          <w:sz w:val="32"/>
          <w:szCs w:val="32"/>
          <w:highlight w:val="none"/>
          <w:lang w:val="en-US" w:eastAsia="zh-CN"/>
        </w:rPr>
        <w:t>明确由市平安建设组织协调机构会同市市场监管局统筹建设管理，市数据、财政部门负责技术和运维保障，行业主管部门督促经营主体完成信息备案并提供数据支撑，形成“建设管理部门+保障部门+配合部门”的平台建设运营体系，确保平台长效稳定运行。</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对内监管平台功能：</w:t>
      </w:r>
      <w:r>
        <w:rPr>
          <w:rFonts w:hint="eastAsia" w:ascii="仿宋_GB2312" w:hAnsi="仿宋_GB2312" w:eastAsia="仿宋_GB2312" w:cs="仿宋_GB2312"/>
          <w:b w:val="0"/>
          <w:bCs w:val="0"/>
          <w:color w:val="000000"/>
          <w:sz w:val="32"/>
          <w:szCs w:val="32"/>
          <w:highlight w:val="none"/>
          <w:lang w:val="en-US" w:eastAsia="zh-CN"/>
        </w:rPr>
        <w:t>整合经营者信息备案、经营主体库动态更新、风险监测预警、分级分类监管、核查处置闭环管理等核心功能，实现监管全流程线上化；通过风险监测模型开展24小时动态监测，按风险等级实施差异化监管，健全市、区、街道三级联动核查处置机制，打造“风险预警—任务分派—核查处置 —结果反馈”的管理闭环，推动监管从“被动应对”向“主动预警”转变。</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对外查询平台功能：</w:t>
      </w:r>
      <w:r>
        <w:rPr>
          <w:rFonts w:hint="eastAsia" w:ascii="仿宋_GB2312" w:hAnsi="仿宋_GB2312" w:eastAsia="仿宋_GB2312" w:cs="仿宋_GB2312"/>
          <w:b w:val="0"/>
          <w:bCs w:val="0"/>
          <w:color w:val="000000"/>
          <w:sz w:val="32"/>
          <w:szCs w:val="32"/>
          <w:highlight w:val="none"/>
          <w:lang w:val="en-US" w:eastAsia="zh-CN"/>
        </w:rPr>
        <w:t>整合经营者信息报送、监管信息归集、经营主体信息查询、协助监管上报等功能，打造“经营者备案+消费者查询+社会监督”的一体化服务平台；既为经营者提供无门槛的备案入口，也为消费者提供便捷的经营主体信息查询渠道，同时增设协助监管上报端口，推动社会公众参与监管，强化社会共治效能。</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（四）经营者合规义务，强化源头风险管控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从信息备案、禁止收款情形、信息公示三个方面，细化经营者的准入和持续合规义务，实现源头风险防控（第</w:t>
      </w:r>
      <w:r>
        <w:rPr>
          <w:rFonts w:hint="eastAsia" w:ascii="仿宋_GB2312" w:hAnsi="仿宋_GB2312" w:eastAsia="仿宋_GB2312" w:cs="仿宋_GB2312"/>
          <w:b w:val="0"/>
          <w:bCs w:val="0"/>
          <w:color w:val="000000"/>
          <w:sz w:val="32"/>
          <w:szCs w:val="32"/>
          <w:highlight w:val="none"/>
          <w:lang w:val="en-US" w:eastAsia="zh-CN"/>
        </w:rPr>
        <w:t>八</w:t>
      </w:r>
      <w:r>
        <w:rPr>
          <w:rFonts w:hint="eastAsia" w:ascii="仿宋_GB2312" w:hAnsi="仿宋_GB2312" w:eastAsia="仿宋_GB2312" w:cs="仿宋_GB2312"/>
          <w:b w:val="0"/>
          <w:bCs w:val="0"/>
          <w:color w:val="000000"/>
          <w:sz w:val="32"/>
          <w:szCs w:val="32"/>
          <w:highlight w:val="none"/>
          <w:lang w:eastAsia="zh-CN"/>
        </w:rPr>
        <w:t>条至第十</w:t>
      </w:r>
      <w:r>
        <w:rPr>
          <w:rFonts w:hint="eastAsia" w:ascii="仿宋_GB2312" w:hAnsi="仿宋_GB2312" w:eastAsia="仿宋_GB2312" w:cs="仿宋_GB2312"/>
          <w:b w:val="0"/>
          <w:bCs w:val="0"/>
          <w:color w:val="000000"/>
          <w:sz w:val="32"/>
          <w:szCs w:val="32"/>
          <w:highlight w:val="none"/>
          <w:lang w:val="en-US" w:eastAsia="zh-CN"/>
        </w:rPr>
        <w:t>一</w:t>
      </w:r>
      <w:r>
        <w:rPr>
          <w:rFonts w:hint="eastAsia" w:ascii="仿宋_GB2312" w:hAnsi="仿宋_GB2312" w:eastAsia="仿宋_GB2312" w:cs="仿宋_GB2312"/>
          <w:b w:val="0"/>
          <w:bCs w:val="0"/>
          <w:color w:val="000000"/>
          <w:sz w:val="32"/>
          <w:szCs w:val="32"/>
          <w:highlight w:val="none"/>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禁止收款情形（第八条）：</w:t>
      </w:r>
      <w:r>
        <w:rPr>
          <w:rFonts w:hint="eastAsia" w:ascii="仿宋_GB2312" w:hAnsi="仿宋_GB2312" w:eastAsia="仿宋_GB2312" w:cs="仿宋_GB2312"/>
          <w:b w:val="0"/>
          <w:bCs w:val="0"/>
          <w:color w:val="000000"/>
          <w:sz w:val="32"/>
          <w:szCs w:val="32"/>
          <w:highlight w:val="none"/>
          <w:lang w:val="en-US" w:eastAsia="zh-CN"/>
        </w:rPr>
        <w:t>明确七种经营者不得收取预付款的高风险情形，包括被列为失信被执行人、列入严重违法失信企业名单、近三年内因违反预付式经营管理规定受到行政处罚等，从源头将有不良记录的高风险主体挡在市场门外。</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信息备案制度（第九条）：</w:t>
      </w:r>
      <w:r>
        <w:rPr>
          <w:rFonts w:hint="eastAsia" w:ascii="仿宋_GB2312" w:hAnsi="仿宋_GB2312" w:eastAsia="仿宋_GB2312" w:cs="仿宋_GB2312"/>
          <w:b w:val="0"/>
          <w:bCs w:val="0"/>
          <w:color w:val="000000"/>
          <w:sz w:val="32"/>
          <w:szCs w:val="32"/>
          <w:highlight w:val="none"/>
          <w:lang w:val="en-US" w:eastAsia="zh-CN"/>
        </w:rPr>
        <w:t>要求经营者开展预付式经营活动前，报送经营者名称、法定代表人、实际控制人姓名、实际经营场所信息等核心内容，信息发生变更的需在十日内完成更新，实现监管底数清晰可控，对经营主体实现精准穿透式监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信息公示义务（第十条）：</w:t>
      </w:r>
      <w:r>
        <w:rPr>
          <w:rFonts w:hint="eastAsia" w:ascii="仿宋_GB2312" w:hAnsi="仿宋_GB2312" w:eastAsia="仿宋_GB2312" w:cs="仿宋_GB2312"/>
          <w:b w:val="0"/>
          <w:bCs w:val="0"/>
          <w:color w:val="000000"/>
          <w:sz w:val="32"/>
          <w:szCs w:val="32"/>
          <w:highlight w:val="none"/>
          <w:lang w:val="en-US" w:eastAsia="zh-CN"/>
        </w:rPr>
        <w:t>要求经营者在经营场所、网站、网店首页等显著位置公示服务内容、收费标准、退款规则等核心信息；同时明确商业综合体、商圈、园区等运营管理方的场内经营者信息集中公示义务，全方位保障消费者知情权。</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（五）资金安全保障与双限管控，破解资金安全难题</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构建“多元化资金保障+差异化双限管控+豁免条款”的资金风险防控体系，兼顾资金安全与行业发展（第十一条至第十三条）：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预收资金保障措施（第十一条）：</w:t>
      </w:r>
      <w:r>
        <w:rPr>
          <w:rFonts w:hint="eastAsia" w:ascii="仿宋_GB2312" w:hAnsi="仿宋_GB2312" w:eastAsia="仿宋_GB2312" w:cs="仿宋_GB2312"/>
          <w:b w:val="0"/>
          <w:bCs w:val="0"/>
          <w:color w:val="000000"/>
          <w:sz w:val="32"/>
          <w:szCs w:val="32"/>
          <w:highlight w:val="none"/>
          <w:lang w:val="en-US" w:eastAsia="zh-CN"/>
        </w:rPr>
        <w:t>允许经营者自主选择商业银行专项账户存管、数字人民币钱包、信托服务、履约保证保险、银行保函等一种或多种方式，保障预收资金安全；设立合规豁免条款，明确对全部预收资金采取有效安全保障措施的经营者，可豁免适用预付款限额限期相关规定，引导经营者主动强化资金管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金融机构职责（第十二条）：</w:t>
      </w:r>
      <w:r>
        <w:rPr>
          <w:rFonts w:hint="eastAsia" w:ascii="仿宋_GB2312" w:hAnsi="仿宋_GB2312" w:eastAsia="仿宋_GB2312" w:cs="仿宋_GB2312"/>
          <w:b w:val="0"/>
          <w:bCs w:val="0"/>
          <w:color w:val="000000"/>
          <w:sz w:val="32"/>
          <w:szCs w:val="32"/>
          <w:highlight w:val="none"/>
          <w:lang w:val="en-US" w:eastAsia="zh-CN"/>
        </w:rPr>
        <w:t>要求金融机构对预收资金实行分账管理、专户核算，配合预付式经营监管工作提供配套服务；建立资金异动监测机制，发现资金异常流动等风险情形及时报告并依法采取必要措施；鼓励金融机构对落实资金保障措施的经营者，在授信额度、贷款利率、担保条件等方面依法给予优惠支持。</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差异化双限管控（第十三条）：</w:t>
      </w:r>
      <w:r>
        <w:rPr>
          <w:rFonts w:hint="eastAsia" w:ascii="仿宋_GB2312" w:hAnsi="仿宋_GB2312" w:eastAsia="仿宋_GB2312" w:cs="仿宋_GB2312"/>
          <w:b w:val="0"/>
          <w:bCs w:val="0"/>
          <w:color w:val="000000"/>
          <w:sz w:val="32"/>
          <w:szCs w:val="32"/>
          <w:highlight w:val="none"/>
          <w:lang w:val="en-US" w:eastAsia="zh-CN"/>
        </w:rPr>
        <w:t>制定“七大重点行业+一般行业”的预付款金额、服务期限、服务次数管控标准，针对不同行业的消费风险、经营特点制定精准管控要求，对校外培训、体育健身、托育、新能源汽车充电等重点行业实施差异化管控，一般行业执行“单客预付款不超过1万元、服务期限不超过12个月”的通用标准。</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（六）经营行为规范与消费者权益保护，全方位保障消费者权利</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从格式条款、消费者风险识别、冷静期、风险应对、法定退款规则三个方面，构建全方位的消费者权益保护体系（第十四条至第十八条）：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规范格式条款（第十四条）：</w:t>
      </w:r>
      <w:r>
        <w:rPr>
          <w:rFonts w:hint="eastAsia" w:ascii="仿宋_GB2312" w:hAnsi="仿宋_GB2312" w:eastAsia="仿宋_GB2312" w:cs="仿宋_GB2312"/>
          <w:b w:val="0"/>
          <w:bCs w:val="0"/>
          <w:color w:val="000000"/>
          <w:sz w:val="32"/>
          <w:szCs w:val="32"/>
          <w:highlight w:val="none"/>
          <w:lang w:eastAsia="zh-CN"/>
        </w:rPr>
        <w:t>列明七种无效的格式条款内容，禁止经营者排除消费者解除合同、退款权利，不合理限制债权转让，单方变更合同实质性内容等不公平行为。</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2.消费者风险识别（第十五条）：</w:t>
      </w:r>
      <w:r>
        <w:rPr>
          <w:rFonts w:hint="eastAsia" w:ascii="仿宋_GB2312" w:hAnsi="仿宋_GB2312" w:eastAsia="仿宋_GB2312" w:cs="仿宋_GB2312"/>
          <w:b w:val="0"/>
          <w:bCs w:val="0"/>
          <w:color w:val="000000"/>
          <w:sz w:val="32"/>
          <w:szCs w:val="32"/>
          <w:highlight w:val="none"/>
          <w:lang w:val="en-US" w:eastAsia="zh-CN"/>
        </w:rPr>
        <w:t>鼓励消费者在预付式消费中主动了解相关风险信息。通过公共信息查询平台，消费者可以查询</w:t>
      </w:r>
      <w:r>
        <w:rPr>
          <w:rFonts w:hint="eastAsia" w:ascii="仿宋_GB2312" w:hAnsi="仿宋_GB2312" w:eastAsia="仿宋_GB2312" w:cs="仿宋_GB2312"/>
          <w:b w:val="0"/>
          <w:bCs w:val="0"/>
          <w:sz w:val="32"/>
          <w:szCs w:val="32"/>
          <w:highlight w:val="none"/>
          <w:lang w:eastAsia="zh-CN"/>
        </w:rPr>
        <w:t>备案信息、信用信息、</w:t>
      </w:r>
      <w:r>
        <w:rPr>
          <w:rFonts w:hint="eastAsia" w:ascii="仿宋_GB2312" w:hAnsi="仿宋_GB2312" w:eastAsia="仿宋_GB2312" w:cs="仿宋_GB2312"/>
          <w:b w:val="0"/>
          <w:bCs w:val="0"/>
          <w:sz w:val="32"/>
          <w:szCs w:val="32"/>
          <w:highlight w:val="none"/>
          <w:lang w:val="en-US" w:eastAsia="zh-CN"/>
        </w:rPr>
        <w:t>预收资金保障措施等关键信息，</w:t>
      </w:r>
      <w:r>
        <w:rPr>
          <w:rFonts w:hint="eastAsia" w:ascii="仿宋_GB2312" w:hAnsi="仿宋_GB2312" w:eastAsia="仿宋_GB2312" w:cs="仿宋_GB2312"/>
          <w:b w:val="0"/>
          <w:bCs w:val="0"/>
          <w:color w:val="000000"/>
          <w:sz w:val="32"/>
          <w:szCs w:val="32"/>
          <w:highlight w:val="none"/>
          <w:lang w:val="en-US" w:eastAsia="zh-CN"/>
        </w:rPr>
        <w:t>从而更好地知悉潜在交易风险。在此基础上，结合第十三条对预付款金额、服务期限等作出的限制性规定，消费者能够更加理性地选择适合的预付金额和服务期限，避免盲目、冲动或超额预付，从需求端提升风险防范意识。</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七日冷静期制度（第十</w:t>
      </w:r>
      <w:r>
        <w:rPr>
          <w:rFonts w:hint="eastAsia" w:ascii="仿宋_GB2312" w:hAnsi="仿宋_GB2312" w:eastAsia="仿宋_GB2312" w:cs="仿宋_GB2312"/>
          <w:b/>
          <w:bCs/>
          <w:color w:val="000000"/>
          <w:sz w:val="32"/>
          <w:szCs w:val="32"/>
          <w:highlight w:val="none"/>
          <w:lang w:val="en-US" w:eastAsia="zh-CN"/>
        </w:rPr>
        <w:t>六</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赋予消费者自支付预付款之日起七日内，未兑付商品或服务且未获得过相同商品或者服务的，可要求全额退款的法定权利；经营者需在十日内一次性全额退款，消费者因支付预付款获得的赠品、赠送服务需退回或支付合理价款，为消费者提供法定“后悔权”。</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4.消费者风险应对措施（第十七条）：</w:t>
      </w:r>
      <w:r>
        <w:rPr>
          <w:rFonts w:hint="eastAsia" w:ascii="仿宋_GB2312" w:hAnsi="仿宋_GB2312" w:eastAsia="仿宋_GB2312" w:cs="仿宋_GB2312"/>
          <w:b w:val="0"/>
          <w:bCs w:val="0"/>
          <w:color w:val="000000"/>
          <w:sz w:val="32"/>
          <w:szCs w:val="32"/>
          <w:highlight w:val="none"/>
          <w:lang w:val="en-US" w:eastAsia="zh-CN"/>
        </w:rPr>
        <w:t>明确消费者发现经营者存在经营异常或无法按约提供商品、服务时，可及时通过公共信息查询平台协助监管上报；同时提示消费者依法通过协商、调解、仲裁、诉讼等途径维护自身合法权益的权利，构建“自主上报+多元维权”的风险应对机制，强化社会监督和消费者自救能力。</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sz w:val="32"/>
          <w:szCs w:val="32"/>
          <w:highlight w:val="none"/>
          <w:lang w:eastAsia="zh-CN"/>
        </w:rPr>
        <w:t>法定退款规则（第十</w:t>
      </w:r>
      <w:r>
        <w:rPr>
          <w:rFonts w:hint="eastAsia" w:ascii="仿宋_GB2312" w:hAnsi="仿宋_GB2312" w:eastAsia="仿宋_GB2312" w:cs="仿宋_GB2312"/>
          <w:b/>
          <w:bCs/>
          <w:color w:val="000000"/>
          <w:sz w:val="32"/>
          <w:szCs w:val="32"/>
          <w:highlight w:val="none"/>
          <w:lang w:val="en-US" w:eastAsia="zh-CN"/>
        </w:rPr>
        <w:t>八</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明确两种法定退款情形，即经营者未按约定提供商品服务、未经消费者同意转让合同义务；要求经营者按约定期限或在十日内一次性退回预付款余额，无约定的以十日为限，为消费者维权提供清晰、刚性的法律依据。</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（七）信用监管与风险处置，构建闭环管理体系</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建立信用监管+属地风险处置的管理制度，实现对预付式经营风险的全流程管控（第</w:t>
      </w:r>
      <w:r>
        <w:rPr>
          <w:rFonts w:hint="eastAsia" w:ascii="仿宋_GB2312" w:hAnsi="仿宋_GB2312" w:eastAsia="仿宋_GB2312" w:cs="仿宋_GB2312"/>
          <w:b w:val="0"/>
          <w:bCs w:val="0"/>
          <w:color w:val="000000"/>
          <w:sz w:val="32"/>
          <w:szCs w:val="32"/>
          <w:highlight w:val="none"/>
          <w:lang w:val="en-US" w:eastAsia="zh-CN"/>
        </w:rPr>
        <w:t>十九</w:t>
      </w:r>
      <w:r>
        <w:rPr>
          <w:rFonts w:hint="eastAsia" w:ascii="仿宋_GB2312" w:hAnsi="仿宋_GB2312" w:eastAsia="仿宋_GB2312" w:cs="仿宋_GB2312"/>
          <w:b w:val="0"/>
          <w:bCs w:val="0"/>
          <w:color w:val="000000"/>
          <w:sz w:val="32"/>
          <w:szCs w:val="32"/>
          <w:highlight w:val="none"/>
          <w:lang w:eastAsia="zh-CN"/>
        </w:rPr>
        <w:t>条至第</w:t>
      </w:r>
      <w:r>
        <w:rPr>
          <w:rFonts w:hint="eastAsia" w:ascii="仿宋_GB2312" w:hAnsi="仿宋_GB2312" w:eastAsia="仿宋_GB2312" w:cs="仿宋_GB2312"/>
          <w:b w:val="0"/>
          <w:bCs w:val="0"/>
          <w:color w:val="000000"/>
          <w:sz w:val="32"/>
          <w:szCs w:val="32"/>
          <w:highlight w:val="none"/>
          <w:lang w:val="en-US" w:eastAsia="zh-CN"/>
        </w:rPr>
        <w:t>二十</w:t>
      </w:r>
      <w:r>
        <w:rPr>
          <w:rFonts w:hint="eastAsia" w:ascii="仿宋_GB2312" w:hAnsi="仿宋_GB2312" w:eastAsia="仿宋_GB2312" w:cs="仿宋_GB2312"/>
          <w:b w:val="0"/>
          <w:bCs w:val="0"/>
          <w:color w:val="000000"/>
          <w:sz w:val="32"/>
          <w:szCs w:val="32"/>
          <w:highlight w:val="none"/>
          <w:lang w:eastAsia="zh-CN"/>
        </w:rPr>
        <w:t>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信用监管体系（第</w:t>
      </w:r>
      <w:r>
        <w:rPr>
          <w:rFonts w:hint="eastAsia" w:ascii="仿宋_GB2312" w:hAnsi="仿宋_GB2312" w:eastAsia="仿宋_GB2312" w:cs="仿宋_GB2312"/>
          <w:b/>
          <w:bCs/>
          <w:color w:val="000000"/>
          <w:sz w:val="32"/>
          <w:szCs w:val="32"/>
          <w:highlight w:val="none"/>
          <w:lang w:val="en-US" w:eastAsia="zh-CN"/>
        </w:rPr>
        <w:t>十九</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要求相关部门归集经营者预付式经营信用信息，建立健全信用评价体系，根据信用评价结果实施分级分类监管，依法落实守信激励、失信惩戒措施；同时设立信用修复机制，鼓励经营者纠正失信行为、消除不良影响，体现包容审慎的监管原则。</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风险处置责任（第</w:t>
      </w:r>
      <w:r>
        <w:rPr>
          <w:rFonts w:hint="eastAsia" w:ascii="仿宋_GB2312" w:hAnsi="仿宋_GB2312" w:eastAsia="仿宋_GB2312" w:cs="仿宋_GB2312"/>
          <w:b/>
          <w:bCs/>
          <w:color w:val="000000"/>
          <w:sz w:val="32"/>
          <w:szCs w:val="32"/>
          <w:highlight w:val="none"/>
          <w:lang w:val="en-US" w:eastAsia="zh-CN"/>
        </w:rPr>
        <w:t>二十</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明确经营者注册地与实际经营地不一致的，由实际经营地的区人民政府承担风险防范与处置主体责任，会同市级行业主管部门统筹处置，注册地的区人民政府应当予以配合，厘清属地风险处置权责边界。</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（八）监管职权与法律责任，强化制度执行刚性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明确监管部门的监督检查职权，设定梯度化的行政处罚标准，完善行刑衔接机制，确保各项制度落地执行（第二十一条至第二十九条）：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监督检查职权（第</w:t>
      </w:r>
      <w:r>
        <w:rPr>
          <w:rFonts w:hint="eastAsia" w:ascii="仿宋_GB2312" w:hAnsi="仿宋_GB2312" w:eastAsia="仿宋_GB2312" w:cs="仿宋_GB2312"/>
          <w:b/>
          <w:bCs/>
          <w:color w:val="000000"/>
          <w:sz w:val="32"/>
          <w:szCs w:val="32"/>
          <w:highlight w:val="none"/>
          <w:lang w:val="en-US" w:eastAsia="zh-CN"/>
        </w:rPr>
        <w:t>二十一</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赋予行业主管部门现场检查、调查询问、查阅复制相关资料、查封扣押涉案物品场所等六项法定职权，要求经营者予以配合，不得拒绝、阻挠。</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执法部门分工（第二十</w:t>
      </w:r>
      <w:r>
        <w:rPr>
          <w:rFonts w:hint="eastAsia" w:ascii="仿宋_GB2312" w:hAnsi="仿宋_GB2312" w:eastAsia="仿宋_GB2312" w:cs="仿宋_GB2312"/>
          <w:b/>
          <w:bCs/>
          <w:color w:val="000000"/>
          <w:sz w:val="32"/>
          <w:szCs w:val="32"/>
          <w:highlight w:val="none"/>
          <w:lang w:val="en-US" w:eastAsia="zh-CN"/>
        </w:rPr>
        <w:t>二</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eastAsia="zh-CN"/>
        </w:rPr>
        <w:t>明确行政处罚由区级以上行业主管部门及相关综合执法机构按职责实施，厘清执法责任。</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lang w:eastAsia="zh-CN"/>
        </w:rPr>
        <w:t>梯度化法律责任（第二十</w:t>
      </w:r>
      <w:r>
        <w:rPr>
          <w:rFonts w:hint="eastAsia" w:ascii="仿宋_GB2312" w:hAnsi="仿宋_GB2312" w:eastAsia="仿宋_GB2312" w:cs="仿宋_GB2312"/>
          <w:b/>
          <w:bCs/>
          <w:color w:val="000000"/>
          <w:sz w:val="32"/>
          <w:szCs w:val="32"/>
          <w:highlight w:val="none"/>
          <w:lang w:val="en-US" w:eastAsia="zh-CN"/>
        </w:rPr>
        <w:t>三</w:t>
      </w:r>
      <w:r>
        <w:rPr>
          <w:rFonts w:hint="eastAsia" w:ascii="仿宋_GB2312" w:hAnsi="仿宋_GB2312" w:eastAsia="仿宋_GB2312" w:cs="仿宋_GB2312"/>
          <w:b/>
          <w:bCs/>
          <w:color w:val="000000"/>
          <w:sz w:val="32"/>
          <w:szCs w:val="32"/>
          <w:highlight w:val="none"/>
          <w:lang w:eastAsia="zh-CN"/>
        </w:rPr>
        <w:t>条至第二十</w:t>
      </w:r>
      <w:r>
        <w:rPr>
          <w:rFonts w:hint="eastAsia" w:ascii="仿宋_GB2312" w:hAnsi="仿宋_GB2312" w:eastAsia="仿宋_GB2312" w:cs="仿宋_GB2312"/>
          <w:b/>
          <w:bCs/>
          <w:color w:val="000000"/>
          <w:sz w:val="32"/>
          <w:szCs w:val="32"/>
          <w:highlight w:val="none"/>
          <w:lang w:val="en-US" w:eastAsia="zh-CN"/>
        </w:rPr>
        <w:t>八</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针对不同违法行为的社会危害程度，设定从2000元到50万元罚款的梯度化处罚标准，同时配套责令停止收款、责令停业等处罚措施；对违反禁止收款情形、违规收取预付款等严重违法行为实施重罚，对违反信息备案、信息公示、格式条款、退款义务等行为设置专门处罚条款，确保处罚标准贴合违法实际、具备可执行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4.</w:t>
      </w:r>
      <w:r>
        <w:rPr>
          <w:rFonts w:hint="eastAsia" w:ascii="仿宋_GB2312" w:hAnsi="仿宋_GB2312" w:eastAsia="仿宋_GB2312" w:cs="仿宋_GB2312"/>
          <w:b/>
          <w:bCs/>
          <w:color w:val="000000"/>
          <w:sz w:val="32"/>
          <w:szCs w:val="32"/>
          <w:highlight w:val="none"/>
          <w:lang w:eastAsia="zh-CN"/>
        </w:rPr>
        <w:t>行刑衔接机制（第二十</w:t>
      </w:r>
      <w:r>
        <w:rPr>
          <w:rFonts w:hint="eastAsia" w:ascii="仿宋_GB2312" w:hAnsi="仿宋_GB2312" w:eastAsia="仿宋_GB2312" w:cs="仿宋_GB2312"/>
          <w:b/>
          <w:bCs/>
          <w:color w:val="000000"/>
          <w:sz w:val="32"/>
          <w:szCs w:val="32"/>
          <w:highlight w:val="none"/>
          <w:lang w:val="en-US" w:eastAsia="zh-CN"/>
        </w:rPr>
        <w:t>九</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明确经营者在经营过程中存在合同诈骗、洗钱、挪用资金、非法金融活动等情形的，由公安等部门依法处理，构成犯罪的依法追究刑事责任；相关部门需及时将涉嫌犯罪的案件移送公安机关，形成行政监管与刑事惩戒的全链条合力。</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lang w:eastAsia="zh-CN"/>
        </w:rPr>
        <w:t>（九）定义与施行日期，明确核心概念与施行要求</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本部分对立法中的核心概念作出明确定义，设定制度施行的过渡安排，确保《若干规定》统一理解、顺利实施（第三十条至第三十一条）：</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核心概念定义（第</w:t>
      </w:r>
      <w:r>
        <w:rPr>
          <w:rFonts w:hint="eastAsia" w:ascii="仿宋_GB2312" w:hAnsi="仿宋_GB2312" w:eastAsia="仿宋_GB2312" w:cs="仿宋_GB2312"/>
          <w:b/>
          <w:bCs/>
          <w:color w:val="000000"/>
          <w:sz w:val="32"/>
          <w:szCs w:val="32"/>
          <w:highlight w:val="none"/>
          <w:lang w:val="en-US" w:eastAsia="zh-CN"/>
        </w:rPr>
        <w:t>三十</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对“生活消费领域”“预收资金”“预付款余额”等核心法律概念作出明确定义，避免法律适用争议；同时明确本规定中的“日”指自然日，“以上、以下”包含本数，确保条文执行的统一性。</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579" w:lineRule="exact"/>
        <w:ind w:left="0" w:leftChars="0" w:firstLine="643" w:firstLineChars="200"/>
        <w:jc w:val="left"/>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施行与过渡要求（第</w:t>
      </w:r>
      <w:r>
        <w:rPr>
          <w:rFonts w:hint="eastAsia" w:ascii="仿宋_GB2312" w:hAnsi="仿宋_GB2312" w:eastAsia="仿宋_GB2312" w:cs="仿宋_GB2312"/>
          <w:b/>
          <w:bCs/>
          <w:color w:val="000000"/>
          <w:sz w:val="32"/>
          <w:szCs w:val="32"/>
          <w:highlight w:val="none"/>
          <w:lang w:val="en-US" w:eastAsia="zh-CN"/>
        </w:rPr>
        <w:t>三十一</w:t>
      </w:r>
      <w:r>
        <w:rPr>
          <w:rFonts w:hint="eastAsia" w:ascii="仿宋_GB2312" w:hAnsi="仿宋_GB2312" w:eastAsia="仿宋_GB2312" w:cs="仿宋_GB2312"/>
          <w:b/>
          <w:bCs/>
          <w:color w:val="000000"/>
          <w:sz w:val="32"/>
          <w:szCs w:val="32"/>
          <w:highlight w:val="none"/>
          <w:lang w:eastAsia="zh-CN"/>
        </w:rPr>
        <w:t>条）：</w:t>
      </w:r>
      <w:r>
        <w:rPr>
          <w:rFonts w:hint="eastAsia" w:ascii="仿宋_GB2312" w:hAnsi="仿宋_GB2312" w:eastAsia="仿宋_GB2312" w:cs="仿宋_GB2312"/>
          <w:b w:val="0"/>
          <w:bCs w:val="0"/>
          <w:color w:val="000000"/>
          <w:sz w:val="32"/>
          <w:szCs w:val="32"/>
          <w:highlight w:val="none"/>
          <w:lang w:val="en-US" w:eastAsia="zh-CN"/>
        </w:rPr>
        <w:t>明确本规定的施行日期，同时设置九十日过渡期，要求本规定实施前已开展预付式经营的经营者，需在九十日内完成信息报送备案，实现制度平稳过渡，避免对现有合规经营主体造成过度冲击。</w:t>
      </w:r>
    </w:p>
    <w:p>
      <w:pPr>
        <w:pStyle w:val="3"/>
        <w:tabs>
          <w:tab w:val="left" w:pos="504"/>
        </w:tabs>
        <w:spacing w:before="0" w:after="0" w:line="560" w:lineRule="exact"/>
        <w:ind w:firstLine="0"/>
        <w:jc w:val="both"/>
        <w:outlineLvl w:val="1"/>
        <w:rPr>
          <w:rFonts w:hint="default" w:ascii="仿宋_GB2312" w:eastAsia="仿宋_GB2312"/>
          <w:color w:val="auto"/>
          <w:sz w:val="32"/>
          <w:lang w:val="en-US"/>
        </w:rPr>
      </w:pPr>
      <w:r>
        <w:rPr>
          <w:rFonts w:hint="eastAsia" w:ascii="仿宋_GB2312" w:hAnsi="仿宋_GB2312" w:eastAsia="仿宋_GB2312" w:cs="仿宋_GB2312"/>
          <w:b w:val="0"/>
          <w:bCs w:val="0"/>
          <w:color w:val="auto"/>
          <w:lang w:val="en-US" w:eastAsia="zh-CN"/>
        </w:rPr>
        <w:t xml:space="preserve">    特此说明。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30417BA5"/>
    <w:rsid w:val="30417BA5"/>
    <w:rsid w:val="65DE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 w:type="paragraph" w:styleId="3">
    <w:name w:val="Title"/>
    <w:basedOn w:val="1"/>
    <w:next w:val="1"/>
    <w:qFormat/>
    <w:uiPriority w:val="10"/>
    <w:pPr>
      <w:spacing w:before="240" w:after="60"/>
      <w:jc w:val="center"/>
      <w:outlineLvl w:val="0"/>
    </w:pPr>
    <w:rPr>
      <w:rFonts w:ascii="Calibri Light" w:hAnsi="Calibri Light" w:eastAsia="宋体" w:cs="Times New Roman"/>
      <w:b/>
      <w:bCs/>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2026-04-10T10:07:00Z</dcterms:created>
  <dc:creator>阿营</dc:creator>
  <cp:lastModifiedBy>阿营</cp:lastModifiedBy>
  <dcterms:modified xsi:type="dcterms:W3CDTF">2026-04-10T10:09:07Z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F532909991FB414E96F78D8E91101D9A_13</vt:lpwstr>
  </property>
</Properties>
</file>