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eastAsia"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eastAsia" w:eastAsia="方正小标宋简体"/>
          <w:sz w:val="44"/>
          <w:szCs w:val="44"/>
          <w:lang w:eastAsia="zh-CN"/>
        </w:rPr>
      </w:pPr>
      <w:r>
        <w:rPr>
          <w:rFonts w:hint="eastAsia" w:eastAsia="方正小标宋简体"/>
          <w:sz w:val="44"/>
          <w:szCs w:val="44"/>
        </w:rPr>
        <w:t>《佛山市预付式</w:t>
      </w:r>
      <w:r>
        <w:rPr>
          <w:rFonts w:hint="eastAsia" w:eastAsia="方正小标宋简体"/>
          <w:sz w:val="44"/>
          <w:szCs w:val="44"/>
          <w:lang w:val="en-US" w:eastAsia="zh-CN"/>
        </w:rPr>
        <w:t>经营</w:t>
      </w:r>
      <w:r>
        <w:rPr>
          <w:rFonts w:hint="eastAsia" w:eastAsia="方正小标宋简体"/>
          <w:sz w:val="44"/>
          <w:szCs w:val="44"/>
        </w:rPr>
        <w:t>管理办法（征求意见稿）》</w:t>
      </w:r>
      <w:r>
        <w:rPr>
          <w:rFonts w:hint="eastAsia" w:eastAsia="方正小标宋简体"/>
          <w:sz w:val="44"/>
          <w:szCs w:val="44"/>
          <w:lang w:eastAsia="zh-CN"/>
        </w:rPr>
        <w:t>起草说明</w:t>
      </w:r>
    </w:p>
    <w:p>
      <w:pPr>
        <w:keepNext w:val="0"/>
        <w:keepLines w:val="0"/>
        <w:pageBreakBefore w:val="0"/>
        <w:kinsoku/>
        <w:wordWrap/>
        <w:overflowPunct/>
        <w:topLinePunct w:val="0"/>
        <w:autoSpaceDE/>
        <w:autoSpaceDN/>
        <w:bidi w:val="0"/>
        <w:adjustRightInd/>
        <w:snapToGrid/>
        <w:spacing w:line="560" w:lineRule="exact"/>
        <w:textAlignment w:val="auto"/>
        <w:rPr>
          <w:rFonts w:hint="eastAsia" w:eastAsia="华文中宋"/>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rPr>
        <w:t>一、</w:t>
      </w:r>
      <w:r>
        <w:rPr>
          <w:rFonts w:hint="eastAsia" w:ascii="黑体" w:hAnsi="黑体" w:eastAsia="黑体" w:cs="黑体"/>
          <w:b w:val="0"/>
          <w:bCs w:val="0"/>
          <w:sz w:val="32"/>
          <w:szCs w:val="32"/>
          <w:lang w:val="en-US" w:eastAsia="zh-CN"/>
        </w:rPr>
        <w:t>制定</w:t>
      </w:r>
      <w:r>
        <w:rPr>
          <w:rFonts w:hint="eastAsia" w:ascii="黑体" w:hAnsi="黑体" w:eastAsia="黑体" w:cs="黑体"/>
          <w:b w:val="0"/>
          <w:bCs w:val="0"/>
          <w:sz w:val="32"/>
          <w:szCs w:val="32"/>
        </w:rPr>
        <w:t>背景</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近年来，预付式消费在很多行业领域得到了广泛应用,成为一种常见的消费模式，预付式消费虽然给消费者带来了方便和优惠，但该消费模式同时存在一定风险隐患，如部分经营者资金管理不规范、服务质量参差不齐、闭店失联跑路等，容易引发消费纠纷，损害消费者合法权益，甚至影响市场秩序和社会稳定。为了解决预付式消费的诸多“痛点”，2024年7月1日实施的《中华人民共和国消费者权益保护法实施条例》对预付式消费作出细化和完善，最高人民法院正式发布的《最高人民法院关于审理预付式消费民事纠纷案件适用法律若干问题的解释》拟就预付式消费纠纷实现“司法闭环”。为进一步规范我市预付式经营活动，落实提振消费、优化营商环境的精神，解决预付式消费模式对消费环境改善、消费管理优化、消费者权益保护提出的新要求和新挑战，结合行业实际情况，我市制定本《办法》。</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right="0" w:rightChars="0" w:firstLine="640" w:firstLineChars="200"/>
        <w:jc w:val="left"/>
        <w:textAlignment w:val="auto"/>
        <w:outlineLvl w:val="0"/>
        <w:rPr>
          <w:rFonts w:hint="eastAsia" w:hAnsi="黑体" w:eastAsia="黑体"/>
          <w:b w:val="0"/>
          <w:bCs w:val="0"/>
          <w:color w:val="333333"/>
          <w:kern w:val="0"/>
          <w:sz w:val="32"/>
          <w:szCs w:val="32"/>
          <w:lang w:val="en-US" w:eastAsia="zh-CN"/>
        </w:rPr>
      </w:pPr>
      <w:r>
        <w:rPr>
          <w:rFonts w:hint="eastAsia" w:hAnsi="黑体" w:eastAsia="黑体"/>
          <w:b w:val="0"/>
          <w:bCs w:val="0"/>
          <w:color w:val="333333"/>
          <w:kern w:val="0"/>
          <w:sz w:val="32"/>
          <w:szCs w:val="32"/>
          <w:lang w:val="en-US" w:eastAsia="zh-CN"/>
        </w:rPr>
        <w:t>二、</w:t>
      </w:r>
      <w:r>
        <w:rPr>
          <w:rFonts w:hint="eastAsia" w:ascii="黑体" w:hAnsi="黑体" w:eastAsia="黑体" w:cs="黑体"/>
          <w:b w:val="0"/>
          <w:bCs w:val="0"/>
          <w:sz w:val="32"/>
          <w:szCs w:val="32"/>
          <w:lang w:val="en-US" w:eastAsia="zh-CN"/>
        </w:rPr>
        <w:t>制定</w:t>
      </w:r>
      <w:r>
        <w:rPr>
          <w:rFonts w:hint="eastAsia" w:hAnsi="黑体" w:eastAsia="黑体"/>
          <w:b w:val="0"/>
          <w:bCs w:val="0"/>
          <w:color w:val="333333"/>
          <w:kern w:val="0"/>
          <w:sz w:val="32"/>
          <w:szCs w:val="32"/>
          <w:lang w:val="en-US" w:eastAsia="zh-CN"/>
        </w:rPr>
        <w:t>依据</w:t>
      </w:r>
    </w:p>
    <w:p>
      <w:pPr>
        <w:pStyle w:val="1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主要依据包括</w:t>
      </w:r>
      <w:r>
        <w:rPr>
          <w:rFonts w:hint="eastAsia" w:ascii="仿宋_GB2312" w:eastAsia="仿宋_GB2312"/>
          <w:kern w:val="0"/>
          <w:sz w:val="32"/>
          <w:szCs w:val="32"/>
        </w:rPr>
        <w:t>《中华人民共和国民法典》《中华人民共和国消费者权益保护法》《中华人民共和国消费者权益保护法实施条例》《国务院关于加强数字政府建设的指导意见》《单用途商业预付卡管理办法（试行）》</w:t>
      </w:r>
      <w:r>
        <w:rPr>
          <w:rFonts w:hint="eastAsia" w:ascii="仿宋_GB2312" w:hAnsi="仿宋_GB2312" w:eastAsia="仿宋_GB2312" w:cs="仿宋_GB2312"/>
          <w:kern w:val="2"/>
          <w:sz w:val="32"/>
          <w:szCs w:val="32"/>
          <w:lang w:val="en-US" w:eastAsia="zh-CN"/>
        </w:rPr>
        <w:t>等法律法规和政策文件。</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right="0" w:rightChars="0" w:firstLine="640" w:firstLineChars="200"/>
        <w:jc w:val="left"/>
        <w:textAlignment w:val="auto"/>
        <w:outlineLvl w:val="0"/>
        <w:rPr>
          <w:rFonts w:hint="eastAsia" w:hAnsi="黑体" w:eastAsia="黑体"/>
          <w:b w:val="0"/>
          <w:bCs w:val="0"/>
          <w:color w:val="333333"/>
          <w:kern w:val="0"/>
          <w:sz w:val="32"/>
          <w:szCs w:val="32"/>
          <w:lang w:val="en-US" w:eastAsia="zh-CN"/>
        </w:rPr>
      </w:pPr>
      <w:r>
        <w:rPr>
          <w:rFonts w:hint="eastAsia" w:ascii="黑体" w:hAnsi="黑体" w:eastAsia="黑体" w:cs="黑体"/>
          <w:b w:val="0"/>
          <w:bCs w:val="0"/>
          <w:sz w:val="32"/>
          <w:szCs w:val="32"/>
          <w:lang w:val="en-US" w:eastAsia="zh-CN"/>
        </w:rPr>
        <w:t>制定</w:t>
      </w:r>
      <w:r>
        <w:rPr>
          <w:rFonts w:hint="eastAsia" w:hAnsi="黑体" w:eastAsia="黑体"/>
          <w:b w:val="0"/>
          <w:bCs w:val="0"/>
          <w:color w:val="333333"/>
          <w:kern w:val="0"/>
          <w:sz w:val="32"/>
          <w:szCs w:val="32"/>
          <w:lang w:val="en-US" w:eastAsia="zh-CN"/>
        </w:rPr>
        <w:t>过程</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制定过程中</w:t>
      </w:r>
      <w:r>
        <w:rPr>
          <w:rFonts w:hint="default" w:ascii="仿宋_GB2312" w:hAnsi="仿宋_GB2312" w:eastAsia="仿宋_GB2312" w:cs="仿宋_GB2312"/>
          <w:kern w:val="2"/>
          <w:sz w:val="32"/>
          <w:szCs w:val="32"/>
          <w:lang w:val="en-US" w:eastAsia="zh-CN"/>
        </w:rPr>
        <w:t>，</w:t>
      </w:r>
      <w:r>
        <w:rPr>
          <w:rFonts w:hint="eastAsia" w:ascii="仿宋_GB2312" w:hAnsi="仿宋_GB2312" w:eastAsia="仿宋_GB2312" w:cs="仿宋_GB2312"/>
          <w:kern w:val="2"/>
          <w:sz w:val="32"/>
          <w:szCs w:val="32"/>
          <w:lang w:val="en-US" w:eastAsia="zh-CN"/>
        </w:rPr>
        <w:t>市市场监督管理局</w:t>
      </w:r>
      <w:r>
        <w:rPr>
          <w:rFonts w:hint="default" w:ascii="仿宋_GB2312" w:hAnsi="仿宋_GB2312" w:eastAsia="仿宋_GB2312" w:cs="仿宋_GB2312"/>
          <w:kern w:val="2"/>
          <w:sz w:val="32"/>
          <w:szCs w:val="32"/>
          <w:lang w:val="en-US" w:eastAsia="zh-CN"/>
        </w:rPr>
        <w:t>系统梳理国家相关法律</w:t>
      </w:r>
      <w:r>
        <w:rPr>
          <w:rFonts w:hint="eastAsia" w:ascii="仿宋_GB2312" w:hAnsi="仿宋_GB2312" w:eastAsia="仿宋_GB2312" w:cs="仿宋_GB2312"/>
          <w:kern w:val="2"/>
          <w:sz w:val="32"/>
          <w:szCs w:val="32"/>
          <w:lang w:val="en-US" w:eastAsia="zh-CN"/>
        </w:rPr>
        <w:t>法规和政策文件,针对预付式经营活动</w:t>
      </w:r>
      <w:r>
        <w:rPr>
          <w:rFonts w:hint="default" w:ascii="仿宋_GB2312" w:hAnsi="仿宋_GB2312" w:eastAsia="仿宋_GB2312" w:cs="仿宋_GB2312"/>
          <w:kern w:val="2"/>
          <w:sz w:val="32"/>
          <w:szCs w:val="32"/>
          <w:lang w:val="en-US" w:eastAsia="zh-CN"/>
        </w:rPr>
        <w:t>中</w:t>
      </w:r>
      <w:r>
        <w:rPr>
          <w:rFonts w:hint="eastAsia" w:ascii="仿宋_GB2312" w:hAnsi="仿宋_GB2312" w:eastAsia="仿宋_GB2312" w:cs="仿宋_GB2312"/>
          <w:kern w:val="2"/>
          <w:sz w:val="32"/>
          <w:szCs w:val="32"/>
          <w:lang w:val="en-US" w:eastAsia="zh-CN"/>
        </w:rPr>
        <w:t>遇到</w:t>
      </w:r>
      <w:r>
        <w:rPr>
          <w:rFonts w:hint="default" w:ascii="仿宋_GB2312" w:hAnsi="仿宋_GB2312" w:eastAsia="仿宋_GB2312" w:cs="仿宋_GB2312"/>
          <w:kern w:val="2"/>
          <w:sz w:val="32"/>
          <w:szCs w:val="32"/>
          <w:lang w:val="en-US" w:eastAsia="zh-CN"/>
        </w:rPr>
        <w:t>的新问题</w:t>
      </w:r>
      <w:r>
        <w:rPr>
          <w:rFonts w:hint="eastAsia" w:ascii="仿宋_GB2312" w:hAnsi="仿宋_GB2312" w:eastAsia="仿宋_GB2312" w:cs="仿宋_GB2312"/>
          <w:kern w:val="2"/>
          <w:sz w:val="32"/>
          <w:szCs w:val="32"/>
          <w:lang w:val="en-US" w:eastAsia="zh-CN"/>
        </w:rPr>
        <w:t>、新情况，深入开展调研，</w:t>
      </w:r>
      <w:r>
        <w:rPr>
          <w:rFonts w:hint="default" w:ascii="仿宋_GB2312" w:hAnsi="仿宋_GB2312" w:eastAsia="仿宋_GB2312" w:cs="仿宋_GB2312"/>
          <w:kern w:val="2"/>
          <w:sz w:val="32"/>
          <w:szCs w:val="32"/>
          <w:lang w:val="en-US" w:eastAsia="zh-CN"/>
        </w:rPr>
        <w:t>学习借鉴</w:t>
      </w:r>
      <w:r>
        <w:rPr>
          <w:rFonts w:hint="eastAsia" w:ascii="仿宋_GB2312" w:hAnsi="仿宋_GB2312" w:eastAsia="仿宋_GB2312" w:cs="仿宋_GB2312"/>
          <w:kern w:val="2"/>
          <w:sz w:val="32"/>
          <w:szCs w:val="32"/>
          <w:lang w:val="en-US" w:eastAsia="zh-CN"/>
        </w:rPr>
        <w:t>其他省市</w:t>
      </w:r>
      <w:r>
        <w:rPr>
          <w:rFonts w:hint="default" w:ascii="仿宋_GB2312" w:hAnsi="仿宋_GB2312" w:eastAsia="仿宋_GB2312" w:cs="仿宋_GB2312"/>
          <w:kern w:val="2"/>
          <w:sz w:val="32"/>
          <w:szCs w:val="32"/>
          <w:lang w:val="en-US" w:eastAsia="zh-CN"/>
        </w:rPr>
        <w:t>管理经验，</w:t>
      </w:r>
      <w:r>
        <w:rPr>
          <w:rFonts w:hint="eastAsia" w:ascii="仿宋_GB2312" w:hAnsi="仿宋_GB2312" w:eastAsia="仿宋_GB2312" w:cs="仿宋_GB2312"/>
          <w:kern w:val="2"/>
          <w:sz w:val="32"/>
          <w:szCs w:val="32"/>
          <w:lang w:val="en-US" w:eastAsia="zh-CN"/>
        </w:rPr>
        <w:t>充分论证研究,并</w:t>
      </w:r>
      <w:r>
        <w:rPr>
          <w:rFonts w:hint="default" w:ascii="仿宋_GB2312" w:hAnsi="仿宋_GB2312" w:eastAsia="仿宋_GB2312" w:cs="仿宋_GB2312"/>
          <w:kern w:val="2"/>
          <w:sz w:val="32"/>
          <w:szCs w:val="32"/>
          <w:lang w:val="en-US" w:eastAsia="zh-CN"/>
        </w:rPr>
        <w:t>广泛征求相关部门</w:t>
      </w:r>
      <w:r>
        <w:rPr>
          <w:rFonts w:hint="eastAsia" w:ascii="仿宋_GB2312" w:hAnsi="仿宋_GB2312" w:eastAsia="仿宋_GB2312" w:cs="仿宋_GB2312"/>
          <w:kern w:val="2"/>
          <w:sz w:val="32"/>
          <w:szCs w:val="32"/>
          <w:lang w:val="en-US" w:eastAsia="zh-CN"/>
        </w:rPr>
        <w:t>等</w:t>
      </w:r>
      <w:r>
        <w:rPr>
          <w:rFonts w:hint="default" w:ascii="仿宋_GB2312" w:hAnsi="仿宋_GB2312" w:eastAsia="仿宋_GB2312" w:cs="仿宋_GB2312"/>
          <w:kern w:val="2"/>
          <w:sz w:val="32"/>
          <w:szCs w:val="32"/>
          <w:lang w:val="en-US" w:eastAsia="zh-CN"/>
        </w:rPr>
        <w:t>意见</w:t>
      </w:r>
      <w:r>
        <w:rPr>
          <w:rFonts w:hint="eastAsia" w:ascii="仿宋_GB2312" w:hAnsi="仿宋_GB2312" w:eastAsia="仿宋_GB2312" w:cs="仿宋_GB2312"/>
          <w:kern w:val="2"/>
          <w:sz w:val="32"/>
          <w:szCs w:val="32"/>
          <w:lang w:val="en-US" w:eastAsia="zh-CN"/>
        </w:rPr>
        <w:t>完成制定</w:t>
      </w:r>
      <w:r>
        <w:rPr>
          <w:rFonts w:hint="default" w:ascii="仿宋_GB2312" w:hAnsi="仿宋_GB2312" w:eastAsia="仿宋_GB2312" w:cs="仿宋_GB2312"/>
          <w:kern w:val="2"/>
          <w:sz w:val="32"/>
          <w:szCs w:val="32"/>
          <w:lang w:val="en-US" w:eastAsia="zh-CN"/>
        </w:rPr>
        <w:t>。</w:t>
      </w:r>
      <w:bookmarkStart w:id="0" w:name="_GoBack"/>
      <w:bookmarkEnd w:id="0"/>
    </w:p>
    <w:p>
      <w:pPr>
        <w:keepNext w:val="0"/>
        <w:keepLines w:val="0"/>
        <w:pageBreakBefore w:val="0"/>
        <w:widowControl/>
        <w:shd w:val="clear" w:color="auto" w:fill="FFFFFF"/>
        <w:kinsoku/>
        <w:wordWrap/>
        <w:overflowPunct/>
        <w:topLinePunct w:val="0"/>
        <w:autoSpaceDE/>
        <w:autoSpaceDN/>
        <w:bidi w:val="0"/>
        <w:adjustRightInd/>
        <w:snapToGrid/>
        <w:spacing w:line="560" w:lineRule="exact"/>
        <w:ind w:right="0" w:rightChars="0" w:firstLine="640" w:firstLineChars="200"/>
        <w:jc w:val="left"/>
        <w:textAlignment w:val="auto"/>
        <w:outlineLvl w:val="0"/>
        <w:rPr>
          <w:rFonts w:hint="default"/>
          <w:b w:val="0"/>
          <w:bCs w:val="0"/>
          <w:color w:val="333333"/>
          <w:kern w:val="0"/>
          <w:sz w:val="32"/>
          <w:szCs w:val="32"/>
          <w:lang w:val="en-US"/>
        </w:rPr>
      </w:pPr>
      <w:r>
        <w:rPr>
          <w:rFonts w:hint="eastAsia" w:hAnsi="黑体" w:eastAsia="黑体"/>
          <w:b w:val="0"/>
          <w:bCs w:val="0"/>
          <w:color w:val="333333"/>
          <w:kern w:val="0"/>
          <w:sz w:val="32"/>
          <w:szCs w:val="32"/>
          <w:lang w:val="en-US" w:eastAsia="zh-CN"/>
        </w:rPr>
        <w:t>四、制定</w:t>
      </w:r>
      <w:r>
        <w:rPr>
          <w:rFonts w:hAnsi="黑体" w:eastAsia="黑体"/>
          <w:b w:val="0"/>
          <w:bCs w:val="0"/>
          <w:color w:val="333333"/>
          <w:kern w:val="0"/>
          <w:sz w:val="32"/>
          <w:szCs w:val="32"/>
        </w:rPr>
        <w:t>主要内容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《办法》共七章28条，包括总则、职责分工、市场主体权利义务、平台建立、预收资金监管、监督管理、附则。主要内容如下：</w:t>
      </w:r>
    </w:p>
    <w:p>
      <w:pPr>
        <w:pStyle w:val="11"/>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总则。</w:t>
      </w:r>
    </w:p>
    <w:p>
      <w:pPr>
        <w:pStyle w:val="11"/>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明确《办法》的立法目的和依据、适用范围以及预付式活动及其管理应遵循的原则，强调加强预付式经营活动的管理，保护消费者合法权益，规范市场秩序，创新政府治理理念和方式。</w:t>
      </w:r>
      <w:r>
        <w:rPr>
          <w:rFonts w:hint="eastAsia" w:ascii="仿宋_GB2312" w:eastAsia="仿宋_GB2312"/>
          <w:sz w:val="32"/>
          <w:szCs w:val="32"/>
        </w:rPr>
        <w:t>详见</w:t>
      </w:r>
      <w:r>
        <w:rPr>
          <w:rFonts w:hint="eastAsia" w:ascii="仿宋_GB2312" w:eastAsia="仿宋_GB2312"/>
          <w:sz w:val="32"/>
          <w:szCs w:val="32"/>
          <w:lang w:eastAsia="zh-CN"/>
        </w:rPr>
        <w:t>《办法》</w:t>
      </w:r>
      <w:r>
        <w:rPr>
          <w:rFonts w:hint="eastAsia" w:ascii="仿宋_GB2312" w:eastAsia="仿宋_GB2312"/>
          <w:sz w:val="32"/>
          <w:szCs w:val="32"/>
        </w:rPr>
        <w:t>第</w:t>
      </w:r>
      <w:r>
        <w:rPr>
          <w:rFonts w:hint="eastAsia" w:ascii="仿宋_GB2312" w:eastAsia="仿宋_GB2312"/>
          <w:sz w:val="32"/>
          <w:szCs w:val="32"/>
          <w:lang w:val="en-US" w:eastAsia="zh-CN"/>
        </w:rPr>
        <w:t>一、二、三、四</w:t>
      </w:r>
      <w:r>
        <w:rPr>
          <w:rFonts w:hint="eastAsia" w:ascii="仿宋_GB2312" w:eastAsia="仿宋_GB2312"/>
          <w:sz w:val="32"/>
          <w:szCs w:val="32"/>
        </w:rPr>
        <w:t>条</w:t>
      </w:r>
      <w:r>
        <w:rPr>
          <w:rFonts w:hint="eastAsia" w:ascii="仿宋_GB2312" w:eastAsia="仿宋_GB2312"/>
          <w:sz w:val="32"/>
          <w:szCs w:val="32"/>
          <w:lang w:eastAsia="zh-CN"/>
        </w:rPr>
        <w:t>。</w:t>
      </w:r>
    </w:p>
    <w:p>
      <w:pPr>
        <w:pStyle w:val="11"/>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职责分工。</w:t>
      </w:r>
    </w:p>
    <w:p>
      <w:pPr>
        <w:pStyle w:val="11"/>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eastAsia="仿宋_GB2312"/>
          <w:sz w:val="32"/>
          <w:szCs w:val="32"/>
        </w:rPr>
      </w:pPr>
      <w:r>
        <w:rPr>
          <w:rFonts w:hint="eastAsia" w:ascii="仿宋_GB2312" w:hAnsi="仿宋_GB2312" w:eastAsia="仿宋_GB2312" w:cs="仿宋_GB2312"/>
          <w:sz w:val="32"/>
          <w:szCs w:val="32"/>
          <w:lang w:val="en-US" w:eastAsia="zh-CN"/>
        </w:rPr>
        <w:t>1.明确市、区、镇人民政府、各行业主管部门关于预付式经营活动的职责，强化责任落实，促进协同合作，完善治理体系。</w:t>
      </w:r>
      <w:r>
        <w:rPr>
          <w:rFonts w:hint="eastAsia" w:ascii="仿宋_GB2312" w:eastAsia="仿宋_GB2312"/>
          <w:sz w:val="32"/>
          <w:szCs w:val="32"/>
        </w:rPr>
        <w:t>详见</w:t>
      </w:r>
      <w:r>
        <w:rPr>
          <w:rFonts w:hint="eastAsia" w:ascii="仿宋_GB2312" w:eastAsia="仿宋_GB2312"/>
          <w:sz w:val="32"/>
          <w:szCs w:val="32"/>
          <w:lang w:eastAsia="zh-CN"/>
        </w:rPr>
        <w:t>《办法》</w:t>
      </w:r>
      <w:r>
        <w:rPr>
          <w:rFonts w:hint="eastAsia" w:ascii="仿宋_GB2312" w:eastAsia="仿宋_GB2312"/>
          <w:sz w:val="32"/>
          <w:szCs w:val="32"/>
        </w:rPr>
        <w:t>第</w:t>
      </w:r>
      <w:r>
        <w:rPr>
          <w:rFonts w:hint="eastAsia" w:ascii="仿宋_GB2312" w:eastAsia="仿宋_GB2312"/>
          <w:sz w:val="32"/>
          <w:szCs w:val="32"/>
          <w:lang w:val="en-US" w:eastAsia="zh-CN"/>
        </w:rPr>
        <w:t>五、六</w:t>
      </w:r>
      <w:r>
        <w:rPr>
          <w:rFonts w:hint="eastAsia" w:ascii="仿宋_GB2312" w:eastAsia="仿宋_GB2312"/>
          <w:sz w:val="32"/>
          <w:szCs w:val="32"/>
        </w:rPr>
        <w:t>条</w:t>
      </w:r>
      <w:r>
        <w:rPr>
          <w:rFonts w:hint="eastAsia" w:ascii="仿宋_GB2312" w:eastAsia="仿宋_GB2312"/>
          <w:sz w:val="32"/>
          <w:szCs w:val="32"/>
          <w:lang w:eastAsia="zh-CN"/>
        </w:rPr>
        <w:t>。</w:t>
      </w:r>
    </w:p>
    <w:p>
      <w:pPr>
        <w:pStyle w:val="11"/>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eastAsia="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val="0"/>
          <w:bCs w:val="0"/>
          <w:color w:val="auto"/>
          <w:sz w:val="32"/>
          <w:szCs w:val="32"/>
          <w:highlight w:val="none"/>
          <w:lang w:val="en-US" w:eastAsia="zh-CN" w:bidi="ar-SA"/>
        </w:rPr>
        <w:t>规定</w:t>
      </w:r>
      <w:r>
        <w:rPr>
          <w:rFonts w:hint="eastAsia" w:ascii="仿宋_GB2312" w:hAnsi="仿宋_GB2312" w:eastAsia="仿宋_GB2312" w:cs="仿宋_GB2312"/>
          <w:color w:val="auto"/>
          <w:sz w:val="32"/>
          <w:szCs w:val="32"/>
          <w:highlight w:val="none"/>
          <w:lang w:val="en-US" w:eastAsia="zh-CN"/>
        </w:rPr>
        <w:t>行业主管部门及其他相关部门采取加强宣传、提示风险、依法指引等措施，落实保护消费者合法权益的职责。另外，规定</w:t>
      </w:r>
      <w:r>
        <w:rPr>
          <w:rFonts w:hint="eastAsia" w:ascii="仿宋_GB2312" w:eastAsia="仿宋_GB2312"/>
          <w:sz w:val="32"/>
          <w:szCs w:val="32"/>
          <w:highlight w:val="none"/>
        </w:rPr>
        <w:t>行业协会、商会</w:t>
      </w:r>
      <w:r>
        <w:rPr>
          <w:rFonts w:hint="eastAsia" w:ascii="仿宋_GB2312" w:eastAsia="仿宋_GB2312"/>
          <w:sz w:val="32"/>
          <w:szCs w:val="32"/>
          <w:highlight w:val="none"/>
          <w:lang w:val="en-US" w:eastAsia="zh-CN"/>
        </w:rPr>
        <w:t>发挥其独特优势，强化行业自律，规范行业秩序，实现多方面的积极效应。</w:t>
      </w:r>
      <w:r>
        <w:rPr>
          <w:rFonts w:hint="eastAsia" w:ascii="仿宋_GB2312" w:eastAsia="仿宋_GB2312"/>
          <w:sz w:val="32"/>
          <w:szCs w:val="32"/>
        </w:rPr>
        <w:t>详见</w:t>
      </w:r>
      <w:r>
        <w:rPr>
          <w:rFonts w:hint="eastAsia" w:ascii="仿宋_GB2312" w:eastAsia="仿宋_GB2312"/>
          <w:sz w:val="32"/>
          <w:szCs w:val="32"/>
          <w:lang w:eastAsia="zh-CN"/>
        </w:rPr>
        <w:t>《办法》</w:t>
      </w:r>
      <w:r>
        <w:rPr>
          <w:rFonts w:hint="eastAsia" w:ascii="仿宋_GB2312" w:eastAsia="仿宋_GB2312"/>
          <w:sz w:val="32"/>
          <w:szCs w:val="32"/>
        </w:rPr>
        <w:t>第</w:t>
      </w:r>
      <w:r>
        <w:rPr>
          <w:rFonts w:hint="eastAsia" w:ascii="仿宋_GB2312" w:eastAsia="仿宋_GB2312"/>
          <w:sz w:val="32"/>
          <w:szCs w:val="32"/>
          <w:lang w:val="en-US" w:eastAsia="zh-CN"/>
        </w:rPr>
        <w:t>七、八</w:t>
      </w:r>
      <w:r>
        <w:rPr>
          <w:rFonts w:hint="eastAsia" w:ascii="仿宋_GB2312" w:eastAsia="仿宋_GB2312"/>
          <w:sz w:val="32"/>
          <w:szCs w:val="32"/>
        </w:rPr>
        <w:t>条</w:t>
      </w:r>
      <w:r>
        <w:rPr>
          <w:rFonts w:hint="eastAsia" w:ascii="仿宋_GB2312" w:eastAsia="仿宋_GB2312"/>
          <w:sz w:val="32"/>
          <w:szCs w:val="32"/>
          <w:lang w:eastAsia="zh-CN"/>
        </w:rPr>
        <w:t>。</w:t>
      </w:r>
    </w:p>
    <w:p>
      <w:pPr>
        <w:pStyle w:val="11"/>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市场主体权利义务。</w:t>
      </w:r>
    </w:p>
    <w:p>
      <w:pPr>
        <w:pStyle w:val="11"/>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eastAsia="仿宋_GB2312"/>
          <w:sz w:val="32"/>
          <w:szCs w:val="32"/>
          <w:lang w:eastAsia="zh-CN"/>
        </w:rPr>
      </w:pPr>
      <w:r>
        <w:rPr>
          <w:rFonts w:hint="eastAsia" w:ascii="仿宋_GB2312" w:hAnsi="仿宋_GB2312" w:eastAsia="仿宋_GB2312" w:cs="仿宋_GB2312"/>
          <w:sz w:val="32"/>
          <w:szCs w:val="32"/>
          <w:lang w:val="en-US" w:eastAsia="zh-CN"/>
        </w:rPr>
        <w:t>1.明确经营者诚实守信经营、真实披露相关信息，保护消费者的知情权和个人信息相关权利。</w:t>
      </w:r>
      <w:r>
        <w:rPr>
          <w:rFonts w:hint="eastAsia" w:ascii="仿宋_GB2312" w:eastAsia="仿宋_GB2312"/>
          <w:sz w:val="32"/>
          <w:szCs w:val="32"/>
        </w:rPr>
        <w:t>详见</w:t>
      </w:r>
      <w:r>
        <w:rPr>
          <w:rFonts w:hint="eastAsia" w:ascii="仿宋_GB2312" w:eastAsia="仿宋_GB2312"/>
          <w:sz w:val="32"/>
          <w:szCs w:val="32"/>
          <w:lang w:eastAsia="zh-CN"/>
        </w:rPr>
        <w:t>《办法》</w:t>
      </w:r>
      <w:r>
        <w:rPr>
          <w:rFonts w:hint="eastAsia" w:ascii="仿宋_GB2312" w:eastAsia="仿宋_GB2312"/>
          <w:sz w:val="32"/>
          <w:szCs w:val="32"/>
        </w:rPr>
        <w:t>第</w:t>
      </w:r>
      <w:r>
        <w:rPr>
          <w:rFonts w:hint="eastAsia" w:ascii="仿宋_GB2312" w:eastAsia="仿宋_GB2312"/>
          <w:sz w:val="32"/>
          <w:szCs w:val="32"/>
          <w:lang w:val="en-US" w:eastAsia="zh-CN"/>
        </w:rPr>
        <w:t>九</w:t>
      </w:r>
      <w:r>
        <w:rPr>
          <w:rFonts w:hint="eastAsia" w:ascii="仿宋_GB2312" w:eastAsia="仿宋_GB2312"/>
          <w:sz w:val="32"/>
          <w:szCs w:val="32"/>
        </w:rPr>
        <w:t>条</w:t>
      </w:r>
      <w:r>
        <w:rPr>
          <w:rFonts w:hint="eastAsia" w:ascii="仿宋_GB2312" w:eastAsia="仿宋_GB2312"/>
          <w:sz w:val="32"/>
          <w:szCs w:val="32"/>
          <w:lang w:eastAsia="zh-CN"/>
        </w:rPr>
        <w:t>。</w:t>
      </w:r>
    </w:p>
    <w:p>
      <w:pPr>
        <w:pStyle w:val="11"/>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2.明确预付式消费采取书面合同的形式，规定经营者应当对</w:t>
      </w:r>
      <w:r>
        <w:rPr>
          <w:rFonts w:hint="eastAsia" w:ascii="仿宋_GB2312" w:hAnsi="仿宋_GB2312" w:eastAsia="仿宋_GB2312" w:cs="仿宋_GB2312"/>
          <w:b w:val="0"/>
          <w:bCs w:val="0"/>
          <w:color w:val="auto"/>
          <w:sz w:val="32"/>
          <w:szCs w:val="32"/>
          <w:highlight w:val="none"/>
          <w:lang w:val="en-US" w:eastAsia="zh-CN" w:bidi="ar-SA"/>
        </w:rPr>
        <w:t>与消费者利益直接相关的重点内容进行显著标识和风险提示，不得利用格式条款损害消费者合法权益。</w:t>
      </w:r>
      <w:r>
        <w:rPr>
          <w:rFonts w:hint="eastAsia" w:ascii="仿宋_GB2312" w:eastAsia="仿宋_GB2312"/>
          <w:sz w:val="32"/>
          <w:szCs w:val="32"/>
        </w:rPr>
        <w:t>详见</w:t>
      </w:r>
      <w:r>
        <w:rPr>
          <w:rFonts w:hint="eastAsia" w:ascii="仿宋_GB2312" w:eastAsia="仿宋_GB2312"/>
          <w:sz w:val="32"/>
          <w:szCs w:val="32"/>
          <w:lang w:eastAsia="zh-CN"/>
        </w:rPr>
        <w:t>《办法》</w:t>
      </w:r>
      <w:r>
        <w:rPr>
          <w:rFonts w:hint="eastAsia" w:ascii="仿宋_GB2312" w:eastAsia="仿宋_GB2312"/>
          <w:sz w:val="32"/>
          <w:szCs w:val="32"/>
        </w:rPr>
        <w:t>第</w:t>
      </w:r>
      <w:r>
        <w:rPr>
          <w:rFonts w:hint="eastAsia" w:ascii="仿宋_GB2312" w:eastAsia="仿宋_GB2312"/>
          <w:sz w:val="32"/>
          <w:szCs w:val="32"/>
          <w:lang w:val="en-US" w:eastAsia="zh-CN"/>
        </w:rPr>
        <w:t>十、十一、十二</w:t>
      </w:r>
      <w:r>
        <w:rPr>
          <w:rFonts w:hint="eastAsia" w:ascii="仿宋_GB2312" w:eastAsia="仿宋_GB2312"/>
          <w:sz w:val="32"/>
          <w:szCs w:val="32"/>
        </w:rPr>
        <w:t>条</w:t>
      </w:r>
      <w:r>
        <w:rPr>
          <w:rFonts w:hint="eastAsia" w:ascii="仿宋_GB2312" w:eastAsia="仿宋_GB2312"/>
          <w:sz w:val="32"/>
          <w:szCs w:val="32"/>
          <w:lang w:eastAsia="zh-CN"/>
        </w:rPr>
        <w:t>。</w:t>
      </w:r>
    </w:p>
    <w:p>
      <w:pPr>
        <w:pStyle w:val="11"/>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3.规定在预付式经营活动中，经营者应当</w:t>
      </w:r>
      <w:r>
        <w:rPr>
          <w:rFonts w:hint="eastAsia" w:ascii="仿宋_GB2312" w:hAnsi="仿宋_GB2312" w:eastAsia="仿宋_GB2312" w:cs="仿宋_GB2312"/>
          <w:b w:val="0"/>
          <w:bCs w:val="0"/>
          <w:color w:val="auto"/>
          <w:sz w:val="32"/>
          <w:szCs w:val="32"/>
          <w:highlight w:val="none"/>
          <w:lang w:val="en-US" w:eastAsia="zh-CN" w:bidi="ar-SA"/>
        </w:rPr>
        <w:t>按照与消费者的约定提供商品或者服务及</w:t>
      </w:r>
      <w:r>
        <w:rPr>
          <w:rFonts w:hint="eastAsia" w:ascii="仿宋_GB2312" w:hAnsi="仿宋_GB2312" w:eastAsia="仿宋_GB2312" w:cs="仿宋_GB2312"/>
          <w:sz w:val="32"/>
          <w:szCs w:val="32"/>
          <w:lang w:val="en-US" w:eastAsia="zh-CN"/>
        </w:rPr>
        <w:t>经营者</w:t>
      </w:r>
      <w:r>
        <w:rPr>
          <w:rFonts w:hint="eastAsia" w:ascii="仿宋_GB2312" w:hAnsi="仿宋_GB2312" w:eastAsia="仿宋_GB2312" w:cs="仿宋_GB2312"/>
          <w:b w:val="0"/>
          <w:bCs w:val="0"/>
          <w:color w:val="auto"/>
          <w:sz w:val="32"/>
          <w:szCs w:val="32"/>
          <w:highlight w:val="none"/>
          <w:lang w:val="en-US" w:eastAsia="zh-CN" w:bidi="ar-SA"/>
        </w:rPr>
        <w:t>违反规定的法律后果。另外，当经营者停业或者迁移服务场所时，应当及时告知消费者，消费者就合同是否继续履行享有选择权。</w:t>
      </w:r>
      <w:r>
        <w:rPr>
          <w:rFonts w:hint="eastAsia" w:ascii="仿宋_GB2312" w:eastAsia="仿宋_GB2312"/>
          <w:sz w:val="32"/>
          <w:szCs w:val="32"/>
        </w:rPr>
        <w:t>详见</w:t>
      </w:r>
      <w:r>
        <w:rPr>
          <w:rFonts w:hint="eastAsia" w:ascii="仿宋_GB2312" w:eastAsia="仿宋_GB2312"/>
          <w:sz w:val="32"/>
          <w:szCs w:val="32"/>
          <w:lang w:eastAsia="zh-CN"/>
        </w:rPr>
        <w:t>《办法》</w:t>
      </w:r>
      <w:r>
        <w:rPr>
          <w:rFonts w:hint="eastAsia" w:ascii="仿宋_GB2312" w:eastAsia="仿宋_GB2312"/>
          <w:sz w:val="32"/>
          <w:szCs w:val="32"/>
        </w:rPr>
        <w:t>第</w:t>
      </w:r>
      <w:r>
        <w:rPr>
          <w:rFonts w:hint="eastAsia" w:ascii="仿宋_GB2312" w:eastAsia="仿宋_GB2312"/>
          <w:sz w:val="32"/>
          <w:szCs w:val="32"/>
          <w:lang w:val="en-US" w:eastAsia="zh-CN"/>
        </w:rPr>
        <w:t>十三、十四</w:t>
      </w:r>
      <w:r>
        <w:rPr>
          <w:rFonts w:hint="eastAsia" w:ascii="仿宋_GB2312" w:eastAsia="仿宋_GB2312"/>
          <w:sz w:val="32"/>
          <w:szCs w:val="32"/>
        </w:rPr>
        <w:t>条</w:t>
      </w:r>
      <w:r>
        <w:rPr>
          <w:rFonts w:hint="eastAsia" w:ascii="仿宋_GB2312" w:eastAsia="仿宋_GB2312"/>
          <w:sz w:val="32"/>
          <w:szCs w:val="32"/>
          <w:lang w:eastAsia="zh-CN"/>
        </w:rPr>
        <w:t>。</w:t>
      </w:r>
    </w:p>
    <w:p>
      <w:pPr>
        <w:pStyle w:val="11"/>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both"/>
        <w:textAlignment w:val="auto"/>
        <w:outlineLvl w:val="2"/>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平台建立。</w:t>
      </w:r>
    </w:p>
    <w:p>
      <w:pPr>
        <w:pStyle w:val="11"/>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1.规定引入</w:t>
      </w:r>
      <w:r>
        <w:rPr>
          <w:rFonts w:hint="eastAsia" w:ascii="仿宋_GB2312" w:hAnsi="仿宋_GB2312" w:eastAsia="仿宋_GB2312" w:cs="仿宋_GB2312"/>
          <w:color w:val="auto"/>
          <w:sz w:val="32"/>
          <w:szCs w:val="32"/>
          <w:highlight w:val="none"/>
          <w:lang w:val="en-US" w:eastAsia="zh-CN"/>
        </w:rPr>
        <w:t>预付式消费资金第三方托管服务平台，</w:t>
      </w:r>
      <w:r>
        <w:rPr>
          <w:rFonts w:hint="eastAsia" w:ascii="仿宋_GB2312" w:hAnsi="Times New Roman" w:eastAsia="仿宋_GB2312" w:cs="Times New Roman"/>
          <w:color w:val="auto"/>
          <w:kern w:val="2"/>
          <w:sz w:val="32"/>
          <w:szCs w:val="32"/>
          <w:highlight w:val="none"/>
          <w:lang w:val="en-US" w:eastAsia="zh-CN" w:bidi="ar-SA"/>
        </w:rPr>
        <w:t>各部门通过服务平台监督管理，推广非现场监管，无事不扰。</w:t>
      </w:r>
      <w:r>
        <w:rPr>
          <w:rFonts w:hint="eastAsia" w:ascii="仿宋_GB2312" w:eastAsia="仿宋_GB2312"/>
          <w:sz w:val="32"/>
          <w:szCs w:val="32"/>
        </w:rPr>
        <w:t>详见</w:t>
      </w:r>
      <w:r>
        <w:rPr>
          <w:rFonts w:hint="eastAsia" w:ascii="仿宋_GB2312" w:eastAsia="仿宋_GB2312"/>
          <w:sz w:val="32"/>
          <w:szCs w:val="32"/>
          <w:lang w:eastAsia="zh-CN"/>
        </w:rPr>
        <w:t>《办法》</w:t>
      </w:r>
      <w:r>
        <w:rPr>
          <w:rFonts w:hint="eastAsia" w:ascii="仿宋_GB2312" w:eastAsia="仿宋_GB2312"/>
          <w:sz w:val="32"/>
          <w:szCs w:val="32"/>
        </w:rPr>
        <w:t>第</w:t>
      </w:r>
      <w:r>
        <w:rPr>
          <w:rFonts w:hint="eastAsia" w:ascii="仿宋_GB2312" w:eastAsia="仿宋_GB2312"/>
          <w:sz w:val="32"/>
          <w:szCs w:val="32"/>
          <w:lang w:val="en-US" w:eastAsia="zh-CN"/>
        </w:rPr>
        <w:t>十五</w:t>
      </w:r>
      <w:r>
        <w:rPr>
          <w:rFonts w:hint="eastAsia" w:ascii="仿宋_GB2312" w:eastAsia="仿宋_GB2312"/>
          <w:sz w:val="32"/>
          <w:szCs w:val="32"/>
        </w:rPr>
        <w:t>条</w:t>
      </w:r>
      <w:r>
        <w:rPr>
          <w:rFonts w:hint="eastAsia" w:ascii="仿宋_GB2312" w:eastAsia="仿宋_GB2312"/>
          <w:sz w:val="32"/>
          <w:szCs w:val="32"/>
          <w:lang w:eastAsia="zh-CN"/>
        </w:rPr>
        <w:t>。</w:t>
      </w:r>
    </w:p>
    <w:p>
      <w:pPr>
        <w:pStyle w:val="11"/>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eastAsia="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val="0"/>
          <w:bCs w:val="0"/>
          <w:color w:val="auto"/>
          <w:sz w:val="32"/>
          <w:szCs w:val="32"/>
          <w:highlight w:val="none"/>
          <w:lang w:val="en-US" w:eastAsia="zh-CN" w:bidi="ar-SA"/>
        </w:rPr>
        <w:t>明确</w:t>
      </w:r>
      <w:r>
        <w:rPr>
          <w:rFonts w:hint="eastAsia" w:ascii="仿宋_GB2312" w:hAnsi="Times New Roman" w:eastAsia="仿宋_GB2312" w:cs="Times New Roman"/>
          <w:color w:val="auto"/>
          <w:kern w:val="2"/>
          <w:sz w:val="32"/>
          <w:szCs w:val="32"/>
          <w:highlight w:val="none"/>
          <w:lang w:val="en-US" w:eastAsia="zh-CN" w:bidi="ar-SA"/>
        </w:rPr>
        <w:t>服务平台运营主体应当履行数据保护义务</w:t>
      </w:r>
      <w:r>
        <w:rPr>
          <w:rFonts w:hint="eastAsia" w:ascii="仿宋_GB2312" w:eastAsia="仿宋_GB2312" w:cs="Times New Roman"/>
          <w:color w:val="auto"/>
          <w:kern w:val="2"/>
          <w:sz w:val="32"/>
          <w:szCs w:val="32"/>
          <w:highlight w:val="none"/>
          <w:lang w:val="en-US" w:eastAsia="zh-CN" w:bidi="ar-SA"/>
        </w:rPr>
        <w:t>，</w:t>
      </w:r>
      <w:r>
        <w:rPr>
          <w:rFonts w:hint="eastAsia" w:ascii="仿宋_GB2312" w:hAnsi="Times New Roman" w:eastAsia="仿宋_GB2312" w:cs="Times New Roman"/>
          <w:color w:val="auto"/>
          <w:kern w:val="2"/>
          <w:sz w:val="32"/>
          <w:szCs w:val="32"/>
          <w:highlight w:val="none"/>
          <w:lang w:val="en-US" w:eastAsia="zh-CN" w:bidi="ar-SA"/>
        </w:rPr>
        <w:t>确保系统稳定、数据安全</w:t>
      </w:r>
      <w:r>
        <w:rPr>
          <w:rFonts w:hint="eastAsia" w:ascii="仿宋_GB2312" w:eastAsia="仿宋_GB2312" w:cs="Times New Roman"/>
          <w:color w:val="auto"/>
          <w:kern w:val="2"/>
          <w:sz w:val="32"/>
          <w:szCs w:val="32"/>
          <w:highlight w:val="none"/>
          <w:lang w:val="en-US" w:eastAsia="zh-CN" w:bidi="ar-SA"/>
        </w:rPr>
        <w:t>，明确平台可暂停经营者在平台继续开展预付式经营活动的具体情形。同时，明确</w:t>
      </w:r>
      <w:r>
        <w:rPr>
          <w:rFonts w:hint="eastAsia" w:ascii="仿宋_GB2312" w:hAnsi="仿宋_GB2312" w:eastAsia="仿宋_GB2312" w:cs="仿宋_GB2312"/>
          <w:b w:val="0"/>
          <w:bCs w:val="0"/>
          <w:color w:val="auto"/>
          <w:sz w:val="32"/>
          <w:szCs w:val="32"/>
          <w:highlight w:val="none"/>
          <w:lang w:val="en-US" w:eastAsia="zh-CN" w:bidi="ar-SA"/>
        </w:rPr>
        <w:t>经营者通过平台开展预付式消费经营活动时履行信用承诺要求，真实、完整、准确填写相关信息。</w:t>
      </w:r>
      <w:r>
        <w:rPr>
          <w:rFonts w:hint="eastAsia" w:ascii="仿宋_GB2312" w:eastAsia="仿宋_GB2312"/>
          <w:sz w:val="32"/>
          <w:szCs w:val="32"/>
        </w:rPr>
        <w:t>详见</w:t>
      </w:r>
      <w:r>
        <w:rPr>
          <w:rFonts w:hint="eastAsia" w:ascii="仿宋_GB2312" w:eastAsia="仿宋_GB2312"/>
          <w:sz w:val="32"/>
          <w:szCs w:val="32"/>
          <w:lang w:eastAsia="zh-CN"/>
        </w:rPr>
        <w:t>《办法》</w:t>
      </w:r>
      <w:r>
        <w:rPr>
          <w:rFonts w:hint="eastAsia" w:ascii="仿宋_GB2312" w:eastAsia="仿宋_GB2312"/>
          <w:sz w:val="32"/>
          <w:szCs w:val="32"/>
        </w:rPr>
        <w:t>第</w:t>
      </w:r>
      <w:r>
        <w:rPr>
          <w:rFonts w:hint="eastAsia" w:ascii="仿宋_GB2312" w:eastAsia="仿宋_GB2312"/>
          <w:sz w:val="32"/>
          <w:szCs w:val="32"/>
          <w:lang w:val="en-US" w:eastAsia="zh-CN"/>
        </w:rPr>
        <w:t>十六、十七、十八、十九</w:t>
      </w:r>
      <w:r>
        <w:rPr>
          <w:rFonts w:hint="eastAsia" w:ascii="仿宋_GB2312" w:eastAsia="仿宋_GB2312"/>
          <w:sz w:val="32"/>
          <w:szCs w:val="32"/>
        </w:rPr>
        <w:t>条</w:t>
      </w:r>
      <w:r>
        <w:rPr>
          <w:rFonts w:hint="eastAsia" w:ascii="仿宋_GB2312" w:eastAsia="仿宋_GB2312"/>
          <w:sz w:val="32"/>
          <w:szCs w:val="32"/>
          <w:lang w:eastAsia="zh-CN"/>
        </w:rPr>
        <w:t>。</w:t>
      </w:r>
    </w:p>
    <w:p>
      <w:pPr>
        <w:pStyle w:val="11"/>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both"/>
        <w:textAlignment w:val="auto"/>
        <w:outlineLvl w:val="2"/>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预收资金监管。</w:t>
      </w:r>
    </w:p>
    <w:p>
      <w:pPr>
        <w:pStyle w:val="11"/>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hAnsi="仿宋_GB2312" w:eastAsia="仿宋_GB2312" w:cs="仿宋_GB2312"/>
          <w:b w:val="0"/>
          <w:bCs w:val="0"/>
          <w:color w:val="auto"/>
          <w:sz w:val="32"/>
          <w:szCs w:val="32"/>
          <w:highlight w:val="none"/>
          <w:lang w:val="en-US" w:eastAsia="zh-CN" w:bidi="ar-SA"/>
        </w:rPr>
        <w:t>基于不同行业主管部门对预收资金监管制定细则，</w:t>
      </w:r>
      <w:r>
        <w:rPr>
          <w:rFonts w:hint="eastAsia" w:ascii="仿宋_GB2312" w:hAnsi="仿宋_GB2312" w:eastAsia="仿宋_GB2312" w:cs="仿宋_GB2312"/>
          <w:b w:val="0"/>
          <w:bCs w:val="0"/>
          <w:color w:val="auto"/>
          <w:kern w:val="2"/>
          <w:sz w:val="32"/>
          <w:szCs w:val="32"/>
          <w:highlight w:val="none"/>
          <w:lang w:val="en-US" w:eastAsia="zh-CN" w:bidi="ar-SA"/>
        </w:rPr>
        <w:t>明确监管模式及资金冻结和释放的具体规则</w:t>
      </w:r>
      <w:r>
        <w:rPr>
          <w:rFonts w:hint="eastAsia" w:ascii="仿宋_GB2312" w:hAnsi="仿宋_GB2312" w:eastAsia="仿宋_GB2312" w:cs="仿宋_GB2312"/>
          <w:b w:val="0"/>
          <w:bCs w:val="0"/>
          <w:color w:val="auto"/>
          <w:sz w:val="32"/>
          <w:szCs w:val="32"/>
          <w:highlight w:val="none"/>
          <w:lang w:val="en-US" w:eastAsia="zh-CN" w:bidi="ar-SA"/>
        </w:rPr>
        <w:t>；</w:t>
      </w:r>
      <w:r>
        <w:rPr>
          <w:rFonts w:hint="eastAsia" w:ascii="仿宋_GB2312" w:eastAsia="仿宋_GB2312"/>
          <w:color w:val="auto"/>
          <w:sz w:val="32"/>
          <w:szCs w:val="32"/>
          <w:highlight w:val="none"/>
          <w:lang w:eastAsia="zh-CN"/>
        </w:rPr>
        <w:t>明确</w:t>
      </w:r>
      <w:r>
        <w:rPr>
          <w:rFonts w:hint="eastAsia" w:ascii="仿宋_GB2312" w:eastAsia="仿宋_GB2312"/>
          <w:color w:val="auto"/>
          <w:sz w:val="32"/>
          <w:szCs w:val="32"/>
          <w:highlight w:val="none"/>
          <w:lang w:val="en-US" w:eastAsia="zh-CN"/>
        </w:rPr>
        <w:t>推动建立</w:t>
      </w:r>
      <w:r>
        <w:rPr>
          <w:rFonts w:hint="eastAsia" w:ascii="仿宋_GB2312" w:eastAsia="仿宋_GB2312"/>
          <w:color w:val="auto"/>
          <w:sz w:val="32"/>
          <w:szCs w:val="32"/>
          <w:highlight w:val="none"/>
        </w:rPr>
        <w:t>预</w:t>
      </w:r>
      <w:r>
        <w:rPr>
          <w:rFonts w:hint="eastAsia" w:ascii="仿宋_GB2312" w:eastAsia="仿宋_GB2312"/>
          <w:color w:val="auto"/>
          <w:sz w:val="32"/>
          <w:szCs w:val="32"/>
          <w:highlight w:val="none"/>
          <w:lang w:val="en-US" w:eastAsia="zh-CN"/>
        </w:rPr>
        <w:t>收</w:t>
      </w:r>
      <w:r>
        <w:rPr>
          <w:rFonts w:hint="eastAsia" w:ascii="仿宋_GB2312" w:eastAsia="仿宋_GB2312"/>
          <w:color w:val="auto"/>
          <w:sz w:val="32"/>
          <w:szCs w:val="32"/>
          <w:highlight w:val="none"/>
        </w:rPr>
        <w:t>资金第三方存管制度</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鼓励经营者提供担保，构建预付式经营活动的信用体系。</w:t>
      </w:r>
      <w:r>
        <w:rPr>
          <w:rFonts w:hint="eastAsia" w:ascii="仿宋_GB2312" w:eastAsia="仿宋_GB2312"/>
          <w:sz w:val="32"/>
          <w:szCs w:val="32"/>
        </w:rPr>
        <w:t>详见</w:t>
      </w:r>
      <w:r>
        <w:rPr>
          <w:rFonts w:hint="eastAsia" w:ascii="仿宋_GB2312" w:eastAsia="仿宋_GB2312"/>
          <w:sz w:val="32"/>
          <w:szCs w:val="32"/>
          <w:lang w:eastAsia="zh-CN"/>
        </w:rPr>
        <w:t>《办法》</w:t>
      </w:r>
      <w:r>
        <w:rPr>
          <w:rFonts w:hint="eastAsia" w:ascii="仿宋_GB2312" w:eastAsia="仿宋_GB2312"/>
          <w:sz w:val="32"/>
          <w:szCs w:val="32"/>
        </w:rPr>
        <w:t>第</w:t>
      </w:r>
      <w:r>
        <w:rPr>
          <w:rFonts w:hint="eastAsia" w:ascii="仿宋_GB2312" w:eastAsia="仿宋_GB2312"/>
          <w:sz w:val="32"/>
          <w:szCs w:val="32"/>
          <w:lang w:val="en-US" w:eastAsia="zh-CN"/>
        </w:rPr>
        <w:t>二十、二十一</w:t>
      </w:r>
      <w:r>
        <w:rPr>
          <w:rFonts w:hint="eastAsia" w:ascii="仿宋_GB2312" w:eastAsia="仿宋_GB2312"/>
          <w:sz w:val="32"/>
          <w:szCs w:val="32"/>
        </w:rPr>
        <w:t>条</w:t>
      </w:r>
      <w:r>
        <w:rPr>
          <w:rFonts w:hint="eastAsia" w:ascii="仿宋_GB2312" w:eastAsia="仿宋_GB2312"/>
          <w:sz w:val="32"/>
          <w:szCs w:val="32"/>
          <w:lang w:eastAsia="zh-CN"/>
        </w:rPr>
        <w:t>。</w:t>
      </w:r>
    </w:p>
    <w:p>
      <w:pPr>
        <w:pStyle w:val="11"/>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hAnsi="仿宋_GB2312" w:eastAsia="仿宋_GB2312" w:cs="仿宋_GB2312"/>
          <w:b w:val="0"/>
          <w:bCs w:val="0"/>
          <w:color w:val="auto"/>
          <w:sz w:val="32"/>
          <w:szCs w:val="32"/>
          <w:highlight w:val="none"/>
          <w:lang w:val="en-US" w:eastAsia="zh-CN" w:bidi="ar-SA"/>
        </w:rPr>
        <w:t>明确鼓励经营者设立冷静期制度，约定消费者在签署合同、交付预付款后七日享有单方面要求返还预付款本金的权利，对预付款资金依法作出处理。</w:t>
      </w:r>
      <w:r>
        <w:rPr>
          <w:rFonts w:hint="eastAsia" w:ascii="仿宋_GB2312" w:eastAsia="仿宋_GB2312"/>
          <w:sz w:val="32"/>
          <w:szCs w:val="32"/>
        </w:rPr>
        <w:t>详见</w:t>
      </w:r>
      <w:r>
        <w:rPr>
          <w:rFonts w:hint="eastAsia" w:ascii="仿宋_GB2312" w:eastAsia="仿宋_GB2312"/>
          <w:sz w:val="32"/>
          <w:szCs w:val="32"/>
          <w:lang w:eastAsia="zh-CN"/>
        </w:rPr>
        <w:t>《办法》</w:t>
      </w:r>
      <w:r>
        <w:rPr>
          <w:rFonts w:hint="eastAsia" w:ascii="仿宋_GB2312" w:eastAsia="仿宋_GB2312"/>
          <w:sz w:val="32"/>
          <w:szCs w:val="32"/>
        </w:rPr>
        <w:t>第</w:t>
      </w:r>
      <w:r>
        <w:rPr>
          <w:rFonts w:hint="eastAsia" w:ascii="仿宋_GB2312" w:eastAsia="仿宋_GB2312"/>
          <w:sz w:val="32"/>
          <w:szCs w:val="32"/>
          <w:lang w:val="en-US" w:eastAsia="zh-CN"/>
        </w:rPr>
        <w:t>二十二</w:t>
      </w:r>
      <w:r>
        <w:rPr>
          <w:rFonts w:hint="eastAsia" w:ascii="仿宋_GB2312" w:eastAsia="仿宋_GB2312"/>
          <w:sz w:val="32"/>
          <w:szCs w:val="32"/>
        </w:rPr>
        <w:t>条</w:t>
      </w:r>
      <w:r>
        <w:rPr>
          <w:rFonts w:hint="eastAsia" w:ascii="仿宋_GB2312" w:eastAsia="仿宋_GB2312"/>
          <w:sz w:val="32"/>
          <w:szCs w:val="32"/>
          <w:lang w:eastAsia="zh-CN"/>
        </w:rPr>
        <w:t>。</w:t>
      </w:r>
    </w:p>
    <w:p>
      <w:pPr>
        <w:pStyle w:val="11"/>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jc w:val="both"/>
        <w:textAlignment w:val="auto"/>
        <w:outlineLvl w:val="2"/>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监督管理。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bidi="ar-SA"/>
        </w:rPr>
        <w:t>明确行业主管部门依托服务平台进行智慧监管，并建立差异化分类监管机制，加强经营者信用管理，及时公示风险警示信息，及时告知登记机关，登记机关发挥联动作用，以及依法履行移送公安机关处理的职责。</w:t>
      </w:r>
      <w:r>
        <w:rPr>
          <w:rFonts w:hint="eastAsia" w:ascii="仿宋_GB2312" w:eastAsia="仿宋_GB2312"/>
          <w:sz w:val="32"/>
          <w:szCs w:val="32"/>
        </w:rPr>
        <w:t>详见</w:t>
      </w:r>
      <w:r>
        <w:rPr>
          <w:rFonts w:hint="eastAsia" w:ascii="仿宋_GB2312" w:eastAsia="仿宋_GB2312"/>
          <w:sz w:val="32"/>
          <w:szCs w:val="32"/>
          <w:lang w:eastAsia="zh-CN"/>
        </w:rPr>
        <w:t>《办法》</w:t>
      </w:r>
      <w:r>
        <w:rPr>
          <w:rFonts w:hint="eastAsia" w:ascii="仿宋_GB2312" w:eastAsia="仿宋_GB2312"/>
          <w:sz w:val="32"/>
          <w:szCs w:val="32"/>
        </w:rPr>
        <w:t>第</w:t>
      </w:r>
      <w:r>
        <w:rPr>
          <w:rFonts w:hint="eastAsia" w:ascii="仿宋_GB2312" w:eastAsia="仿宋_GB2312"/>
          <w:sz w:val="32"/>
          <w:szCs w:val="32"/>
          <w:lang w:val="en-US" w:eastAsia="zh-CN"/>
        </w:rPr>
        <w:t>二十三、</w:t>
      </w:r>
      <w:r>
        <w:rPr>
          <w:rFonts w:hint="eastAsia" w:ascii="仿宋_GB2312" w:eastAsia="仿宋_GB2312"/>
          <w:sz w:val="32"/>
          <w:szCs w:val="32"/>
        </w:rPr>
        <w:t>第</w:t>
      </w:r>
      <w:r>
        <w:rPr>
          <w:rFonts w:hint="eastAsia" w:ascii="仿宋_GB2312" w:eastAsia="仿宋_GB2312"/>
          <w:sz w:val="32"/>
          <w:szCs w:val="32"/>
          <w:lang w:val="en-US" w:eastAsia="zh-CN"/>
        </w:rPr>
        <w:t>二十四、</w:t>
      </w:r>
      <w:r>
        <w:rPr>
          <w:rFonts w:hint="eastAsia" w:ascii="仿宋_GB2312" w:eastAsia="仿宋_GB2312"/>
          <w:sz w:val="32"/>
          <w:szCs w:val="32"/>
        </w:rPr>
        <w:t>第</w:t>
      </w:r>
      <w:r>
        <w:rPr>
          <w:rFonts w:hint="eastAsia" w:ascii="仿宋_GB2312" w:eastAsia="仿宋_GB2312"/>
          <w:sz w:val="32"/>
          <w:szCs w:val="32"/>
          <w:lang w:val="en-US" w:eastAsia="zh-CN"/>
        </w:rPr>
        <w:t>二十五、</w:t>
      </w:r>
      <w:r>
        <w:rPr>
          <w:rFonts w:hint="eastAsia" w:ascii="仿宋_GB2312" w:eastAsia="仿宋_GB2312"/>
          <w:sz w:val="32"/>
          <w:szCs w:val="32"/>
        </w:rPr>
        <w:t>第</w:t>
      </w:r>
      <w:r>
        <w:rPr>
          <w:rFonts w:hint="eastAsia" w:ascii="仿宋_GB2312" w:eastAsia="仿宋_GB2312"/>
          <w:sz w:val="32"/>
          <w:szCs w:val="32"/>
          <w:lang w:val="en-US" w:eastAsia="zh-CN"/>
        </w:rPr>
        <w:t>二十六</w:t>
      </w:r>
      <w:r>
        <w:rPr>
          <w:rFonts w:hint="eastAsia" w:ascii="仿宋_GB2312" w:eastAsia="仿宋_GB2312"/>
          <w:sz w:val="32"/>
          <w:szCs w:val="32"/>
        </w:rPr>
        <w:t>条</w:t>
      </w:r>
      <w:r>
        <w:rPr>
          <w:rFonts w:hint="eastAsia" w:ascii="仿宋_GB2312" w:hAnsi="仿宋_GB2312" w:eastAsia="仿宋_GB2312" w:cs="仿宋_GB2312"/>
          <w:b w:val="0"/>
          <w:bCs w:val="0"/>
          <w:color w:val="auto"/>
          <w:sz w:val="32"/>
          <w:szCs w:val="32"/>
          <w:highlight w:val="none"/>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（七）附则。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pPr>
      <w:r>
        <w:rPr>
          <w:rFonts w:hint="eastAsia" w:ascii="Times New Roman" w:hAnsi="仿宋_GB2312" w:eastAsia="仿宋_GB2312" w:cs="Times New Roman"/>
          <w:sz w:val="32"/>
          <w:szCs w:val="32"/>
          <w:lang w:val="en-US" w:eastAsia="zh-CN"/>
        </w:rPr>
        <w:t>明确《办法》</w:t>
      </w:r>
      <w:r>
        <w:rPr>
          <w:rFonts w:hint="eastAsia" w:ascii="仿宋_GB2312" w:eastAsia="仿宋_GB2312"/>
          <w:color w:val="auto"/>
          <w:sz w:val="32"/>
          <w:szCs w:val="32"/>
          <w:highlight w:val="none"/>
        </w:rPr>
        <w:t>由市</w:t>
      </w:r>
      <w:r>
        <w:rPr>
          <w:rFonts w:hint="eastAsia" w:ascii="仿宋_GB2312" w:eastAsia="仿宋_GB2312"/>
          <w:color w:val="auto"/>
          <w:sz w:val="32"/>
          <w:szCs w:val="32"/>
          <w:highlight w:val="none"/>
          <w:lang w:eastAsia="zh-CN"/>
        </w:rPr>
        <w:t>市场</w:t>
      </w:r>
      <w:r>
        <w:rPr>
          <w:rFonts w:hint="eastAsia" w:ascii="仿宋_GB2312" w:eastAsia="仿宋_GB2312"/>
          <w:color w:val="auto"/>
          <w:sz w:val="32"/>
          <w:szCs w:val="32"/>
          <w:highlight w:val="none"/>
          <w:lang w:val="en-US" w:eastAsia="zh-CN"/>
        </w:rPr>
        <w:t>监督管理</w:t>
      </w:r>
      <w:r>
        <w:rPr>
          <w:rFonts w:hint="eastAsia" w:ascii="仿宋_GB2312" w:hAnsi="Times New Roman" w:eastAsia="仿宋_GB2312" w:cs="Times New Roman"/>
          <w:color w:val="auto"/>
          <w:sz w:val="32"/>
          <w:szCs w:val="32"/>
          <w:highlight w:val="none"/>
        </w:rPr>
        <w:t>局</w:t>
      </w:r>
      <w:r>
        <w:rPr>
          <w:rFonts w:hint="eastAsia" w:ascii="仿宋_GB2312" w:hAnsi="Times New Roman" w:eastAsia="仿宋_GB2312" w:cs="Times New Roman"/>
          <w:b w:val="0"/>
          <w:bCs w:val="0"/>
          <w:color w:val="auto"/>
          <w:w w:val="100"/>
          <w:sz w:val="32"/>
          <w:szCs w:val="32"/>
          <w:highlight w:val="none"/>
          <w:vertAlign w:val="baseline"/>
          <w:lang w:val="en-US" w:eastAsia="zh-CN"/>
        </w:rPr>
        <w:t>组织实施并</w:t>
      </w:r>
      <w:r>
        <w:rPr>
          <w:rFonts w:hint="eastAsia" w:ascii="仿宋_GB2312" w:eastAsia="仿宋_GB2312"/>
          <w:color w:val="auto"/>
          <w:sz w:val="32"/>
          <w:szCs w:val="32"/>
          <w:highlight w:val="none"/>
        </w:rPr>
        <w:t>负责解释</w:t>
      </w:r>
      <w:r>
        <w:rPr>
          <w:rFonts w:hint="eastAsia" w:ascii="仿宋_GB2312" w:eastAsia="仿宋_GB2312"/>
          <w:color w:val="auto"/>
          <w:sz w:val="32"/>
          <w:szCs w:val="32"/>
          <w:highlight w:val="none"/>
          <w:lang w:eastAsia="zh-CN"/>
        </w:rPr>
        <w:t>，</w:t>
      </w:r>
      <w:r>
        <w:rPr>
          <w:rFonts w:hint="eastAsia" w:ascii="Times New Roman" w:hAnsi="仿宋_GB2312" w:eastAsia="仿宋_GB2312" w:cs="Times New Roman"/>
          <w:sz w:val="32"/>
          <w:szCs w:val="32"/>
          <w:lang w:val="en-US" w:eastAsia="zh-CN"/>
        </w:rPr>
        <w:t>自公布之日起30日届满之日</w:t>
      </w:r>
      <w:r>
        <w:rPr>
          <w:rFonts w:hint="eastAsia" w:ascii="Times New Roman" w:hAnsi="仿宋_GB2312" w:eastAsia="仿宋_GB2312" w:cs="Times New Roman"/>
          <w:sz w:val="32"/>
          <w:szCs w:val="32"/>
          <w:highlight w:val="none"/>
          <w:lang w:val="en-US" w:eastAsia="zh-CN"/>
        </w:rPr>
        <w:t>正式实施，有效期5年。</w:t>
      </w:r>
      <w:r>
        <w:rPr>
          <w:rFonts w:hint="eastAsia" w:ascii="仿宋_GB2312" w:eastAsia="仿宋_GB2312"/>
          <w:sz w:val="32"/>
          <w:szCs w:val="32"/>
        </w:rPr>
        <w:t>详见</w:t>
      </w:r>
      <w:r>
        <w:rPr>
          <w:rFonts w:hint="eastAsia" w:ascii="仿宋_GB2312" w:eastAsia="仿宋_GB2312"/>
          <w:sz w:val="32"/>
          <w:szCs w:val="32"/>
          <w:lang w:eastAsia="zh-CN"/>
        </w:rPr>
        <w:t>《办法》</w:t>
      </w:r>
      <w:r>
        <w:rPr>
          <w:rFonts w:hint="eastAsia" w:ascii="仿宋_GB2312" w:eastAsia="仿宋_GB2312"/>
          <w:sz w:val="32"/>
          <w:szCs w:val="32"/>
        </w:rPr>
        <w:t>第</w:t>
      </w:r>
      <w:r>
        <w:rPr>
          <w:rFonts w:hint="eastAsia" w:ascii="仿宋_GB2312" w:eastAsia="仿宋_GB2312"/>
          <w:sz w:val="32"/>
          <w:szCs w:val="32"/>
          <w:lang w:val="en-US" w:eastAsia="zh-CN"/>
        </w:rPr>
        <w:t>二十七、</w:t>
      </w:r>
      <w:r>
        <w:rPr>
          <w:rFonts w:hint="eastAsia" w:ascii="仿宋_GB2312" w:eastAsia="仿宋_GB2312"/>
          <w:sz w:val="32"/>
          <w:szCs w:val="32"/>
        </w:rPr>
        <w:t>第</w:t>
      </w:r>
      <w:r>
        <w:rPr>
          <w:rFonts w:hint="eastAsia" w:ascii="仿宋_GB2312" w:eastAsia="仿宋_GB2312"/>
          <w:sz w:val="32"/>
          <w:szCs w:val="32"/>
          <w:lang w:val="en-US" w:eastAsia="zh-CN"/>
        </w:rPr>
        <w:t>二十八</w:t>
      </w:r>
      <w:r>
        <w:rPr>
          <w:rFonts w:hint="eastAsia" w:ascii="仿宋_GB2312" w:eastAsia="仿宋_GB2312"/>
          <w:sz w:val="32"/>
          <w:szCs w:val="32"/>
        </w:rPr>
        <w:t>条</w:t>
      </w:r>
      <w:r>
        <w:rPr>
          <w:rFonts w:hint="eastAsia" w:ascii="仿宋_GB2312" w:hAnsi="仿宋_GB2312" w:eastAsia="仿宋_GB2312" w:cs="仿宋_GB2312"/>
          <w:b w:val="0"/>
          <w:bCs w:val="0"/>
          <w:color w:val="auto"/>
          <w:sz w:val="32"/>
          <w:szCs w:val="32"/>
          <w:highlight w:val="none"/>
          <w:lang w:val="en-US" w:eastAsia="zh-CN" w:bidi="ar-SA"/>
        </w:rPr>
        <w:t>。</w:t>
      </w:r>
    </w:p>
    <w:sectPr>
      <w:footerReference r:id="rId3" w:type="default"/>
      <w:footerReference r:id="rId4" w:type="even"/>
      <w:pgSz w:w="11906" w:h="16838"/>
      <w:pgMar w:top="2098" w:right="1474" w:bottom="1985"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Style w:val="7"/>
                            </w:rPr>
                          </w:pPr>
                          <w:r>
                            <w:fldChar w:fldCharType="begin"/>
                          </w:r>
                          <w:r>
                            <w:rPr>
                              <w:rStyle w:val="7"/>
                            </w:rPr>
                            <w:instrText xml:space="preserve">PAGE  </w:instrText>
                          </w:r>
                          <w:r>
                            <w:fldChar w:fldCharType="separate"/>
                          </w:r>
                          <w:r>
                            <w:rPr>
                              <w:rStyle w:val="7"/>
                            </w:rPr>
                            <w:t>7</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M6pebnPAAAABQEAAA8AAAAAAAAA&#10;AQAgAAAAOAAAAGRycy9kb3ducmV2LnhtbFBLAQIUABQAAAAIAIdO4kBKlyLzywEAAJwDAAAOAAAA&#10;AAAAAAEAIAAAADQBAABkcnMvZTJvRG9jLnhtbFBLBQYAAAAABgAGAFkBAABxBQAAAAA=&#10;">
              <v:fill on="f" focussize="0,0"/>
              <v:stroke on="f"/>
              <v:imagedata o:title=""/>
              <o:lock v:ext="edit" aspectratio="f"/>
              <v:textbox inset="0mm,0mm,0mm,0mm" style="mso-fit-shape-to-text:t;">
                <w:txbxContent>
                  <w:p>
                    <w:pPr>
                      <w:pStyle w:val="3"/>
                      <w:rPr>
                        <w:rStyle w:val="7"/>
                      </w:rPr>
                    </w:pPr>
                    <w:r>
                      <w:fldChar w:fldCharType="begin"/>
                    </w:r>
                    <w:r>
                      <w:rPr>
                        <w:rStyle w:val="7"/>
                      </w:rPr>
                      <w:instrText xml:space="preserve">PAGE  </w:instrText>
                    </w:r>
                    <w:r>
                      <w:fldChar w:fldCharType="separate"/>
                    </w:r>
                    <w:r>
                      <w:rPr>
                        <w:rStyle w:val="7"/>
                      </w:rPr>
                      <w:t>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7"/>
      </w:rPr>
    </w:pPr>
    <w:r>
      <w:fldChar w:fldCharType="begin"/>
    </w:r>
    <w:r>
      <w:rPr>
        <w:rStyle w:val="7"/>
      </w:rPr>
      <w:instrText xml:space="preserve">PAGE  </w:instrText>
    </w:r>
    <w:r>
      <w:fldChar w:fldCharType="end"/>
    </w:r>
  </w:p>
  <w:p>
    <w:pPr>
      <w:pStyle w:val="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7F3C6E"/>
    <w:multiLevelType w:val="singleLevel"/>
    <w:tmpl w:val="D07F3C6E"/>
    <w:lvl w:ilvl="0" w:tentative="0">
      <w:start w:val="1"/>
      <w:numFmt w:val="chineseCounting"/>
      <w:suff w:val="nothing"/>
      <w:lvlText w:val="（%1）"/>
      <w:lvlJc w:val="left"/>
      <w:rPr>
        <w:rFonts w:hint="eastAsia"/>
      </w:rPr>
    </w:lvl>
  </w:abstractNum>
  <w:abstractNum w:abstractNumId="1">
    <w:nsid w:val="0F008797"/>
    <w:multiLevelType w:val="singleLevel"/>
    <w:tmpl w:val="0F008797"/>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E2934"/>
    <w:rsid w:val="04956A61"/>
    <w:rsid w:val="1D8F764D"/>
    <w:rsid w:val="1DCD471E"/>
    <w:rsid w:val="1DED3012"/>
    <w:rsid w:val="1E307218"/>
    <w:rsid w:val="23E34C9B"/>
    <w:rsid w:val="24E03DCC"/>
    <w:rsid w:val="2A3D5024"/>
    <w:rsid w:val="3D363C36"/>
    <w:rsid w:val="44177EBE"/>
    <w:rsid w:val="449A75E7"/>
    <w:rsid w:val="496B5571"/>
    <w:rsid w:val="49B574A3"/>
    <w:rsid w:val="4CE62561"/>
    <w:rsid w:val="4CFE46D3"/>
    <w:rsid w:val="507765E7"/>
    <w:rsid w:val="5AA20705"/>
    <w:rsid w:val="6454481E"/>
    <w:rsid w:val="68FC3C7F"/>
    <w:rsid w:val="6A1D1B56"/>
    <w:rsid w:val="6D203E37"/>
    <w:rsid w:val="734E2D80"/>
    <w:rsid w:val="76CF41D8"/>
    <w:rsid w:val="78DE7284"/>
    <w:rsid w:val="7CB06260"/>
    <w:rsid w:val="7D8E1218"/>
    <w:rsid w:val="7DB11B53"/>
    <w:rsid w:val="7FFF9CC9"/>
    <w:rsid w:val="B3CF07A3"/>
    <w:rsid w:val="D9FE8C8A"/>
    <w:rsid w:val="E7DC7A4D"/>
    <w:rsid w:val="F2CFE5B0"/>
    <w:rsid w:val="FF7FD8D0"/>
    <w:rsid w:val="FFF6B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宋体"/>
      <w:sz w:val="21"/>
      <w:szCs w:val="21"/>
    </w:rPr>
  </w:style>
  <w:style w:type="paragraph" w:styleId="3">
    <w:name w:val="footer"/>
    <w:basedOn w:val="1"/>
    <w:unhideWhenUsed/>
    <w:qFormat/>
    <w:uiPriority w:val="0"/>
    <w:pPr>
      <w:tabs>
        <w:tab w:val="center" w:pos="4153"/>
        <w:tab w:val="right" w:pos="8306"/>
      </w:tabs>
      <w:snapToGrid w:val="0"/>
      <w:jc w:val="left"/>
    </w:pPr>
    <w:rPr>
      <w:rFonts w:ascii="Calibri" w:hAnsi="Calibri" w:eastAsia="宋体" w:cs="Times New Roman"/>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page number"/>
    <w:basedOn w:val="6"/>
    <w:qFormat/>
    <w:uiPriority w:val="0"/>
  </w:style>
  <w:style w:type="character" w:styleId="8">
    <w:name w:val="Hyperlink"/>
    <w:basedOn w:val="6"/>
    <w:qFormat/>
    <w:uiPriority w:val="0"/>
    <w:rPr>
      <w:color w:val="0000FF"/>
      <w:u w:val="single"/>
    </w:rPr>
  </w:style>
  <w:style w:type="paragraph" w:customStyle="1" w:styleId="9">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0">
    <w:name w:val="正文 New New"/>
    <w:qFormat/>
    <w:uiPriority w:val="0"/>
    <w:pPr>
      <w:widowControl w:val="0"/>
      <w:jc w:val="both"/>
    </w:pPr>
    <w:rPr>
      <w:rFonts w:ascii="Calibri" w:hAnsi="Calibri" w:eastAsia="宋体" w:cs="黑体"/>
      <w:kern w:val="2"/>
      <w:sz w:val="21"/>
      <w:szCs w:val="24"/>
      <w:lang w:val="en-US" w:eastAsia="zh-CN"/>
    </w:rPr>
  </w:style>
  <w:style w:type="paragraph" w:customStyle="1" w:styleId="11">
    <w:name w:val="p0"/>
    <w:basedOn w:val="1"/>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1829</Words>
  <Characters>1844</Characters>
  <Lines>0</Lines>
  <Paragraphs>0</Paragraphs>
  <TotalTime>1</TotalTime>
  <ScaleCrop>false</ScaleCrop>
  <LinksUpToDate>false</LinksUpToDate>
  <CharactersWithSpaces>1844</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2026-03-04T04:25:00Z</dcterms:created>
  <dc:creator>new</dc:creator>
  <cp:lastModifiedBy>汤锐均</cp:lastModifiedBy>
  <dcterms:modified xsi:type="dcterms:W3CDTF">2026-03-12T15:45:44Z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KSOTemplateDocerSaveRecord">
    <vt:lpwstr>eyJoZGlkIjoiNGRlNjkxM2E0NDJlNTYxZmU4N2E1MDlhOWRhZjUzYjUiLCJ1c2VySWQiOiIyNjg5MTU3MDgifQ==</vt:lpwstr>
  </property>
  <property fmtid="{D5CDD505-2E9C-101B-9397-08002B2CF9AE}" pid="4" name="ICV">
    <vt:lpwstr>AD1A7EBD27474F778352C3D2E0B4B91E_12</vt:lpwstr>
  </property>
</Properties>
</file>